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ind w:firstLine="480" w:firstLineChars="200"/>
        <w:jc w:val="center"/>
        <w:rPr>
          <w:rFonts w:ascii="宋体" w:hAnsi="宋体" w:eastAsia="宋体" w:cs="楷体"/>
          <w:color w:val="auto"/>
          <w:kern w:val="0"/>
          <w:sz w:val="24"/>
          <w:szCs w:val="24"/>
        </w:rPr>
      </w:pPr>
      <w:r>
        <w:rPr>
          <w:rFonts w:hint="eastAsia" w:ascii="宋体" w:hAnsi="宋体" w:eastAsia="宋体" w:cs="楷体"/>
          <w:color w:val="auto"/>
          <w:kern w:val="0"/>
          <w:sz w:val="24"/>
          <w:szCs w:val="24"/>
        </w:rPr>
        <w:t>购销合同</w:t>
      </w:r>
    </w:p>
    <w:p>
      <w:pPr>
        <w:widowControl/>
        <w:spacing w:line="360" w:lineRule="auto"/>
        <w:ind w:firstLine="480" w:firstLineChars="200"/>
        <w:jc w:val="right"/>
        <w:rPr>
          <w:rFonts w:ascii="宋体" w:hAnsi="宋体" w:eastAsia="宋体" w:cs="楷体"/>
          <w:color w:val="auto"/>
          <w:kern w:val="0"/>
          <w:sz w:val="24"/>
          <w:szCs w:val="24"/>
        </w:rPr>
      </w:pPr>
      <w:r>
        <w:rPr>
          <w:rFonts w:hint="eastAsia" w:ascii="宋体" w:hAnsi="宋体" w:eastAsia="宋体" w:cs="楷体"/>
          <w:color w:val="auto"/>
          <w:kern w:val="0"/>
          <w:sz w:val="24"/>
          <w:szCs w:val="24"/>
        </w:rPr>
        <w:t>合同编号：（ ）</w:t>
      </w:r>
    </w:p>
    <w:p>
      <w:pPr>
        <w:widowControl/>
        <w:spacing w:line="360" w:lineRule="auto"/>
        <w:jc w:val="left"/>
        <w:rPr>
          <w:rFonts w:ascii="宋体" w:hAnsi="宋体" w:eastAsia="宋体" w:cs="楷体"/>
          <w:color w:val="auto"/>
          <w:kern w:val="0"/>
          <w:sz w:val="24"/>
          <w:szCs w:val="24"/>
        </w:rPr>
      </w:pPr>
      <w:r>
        <w:rPr>
          <w:rFonts w:hint="eastAsia" w:ascii="宋体" w:hAnsi="宋体" w:eastAsia="宋体" w:cs="楷体"/>
          <w:color w:val="auto"/>
          <w:kern w:val="0"/>
          <w:sz w:val="24"/>
          <w:szCs w:val="24"/>
        </w:rPr>
        <w:t>甲方(需方)：山东依诺瓦电器有限公司</w:t>
      </w:r>
    </w:p>
    <w:p>
      <w:pPr>
        <w:widowControl/>
        <w:spacing w:line="360" w:lineRule="auto"/>
        <w:jc w:val="left"/>
        <w:rPr>
          <w:rFonts w:hint="eastAsia" w:ascii="宋体" w:hAnsi="宋体" w:eastAsia="宋体" w:cs="楷体"/>
          <w:color w:val="auto"/>
          <w:kern w:val="0"/>
          <w:sz w:val="24"/>
          <w:szCs w:val="24"/>
          <w:lang w:val="en-US" w:eastAsia="zh-CN"/>
        </w:rPr>
      </w:pPr>
      <w:r>
        <w:rPr>
          <w:rFonts w:hint="eastAsia" w:ascii="宋体" w:hAnsi="宋体" w:eastAsia="宋体" w:cs="楷体"/>
          <w:color w:val="auto"/>
          <w:kern w:val="0"/>
          <w:sz w:val="24"/>
          <w:szCs w:val="24"/>
        </w:rPr>
        <w:t>乙方(供方)：</w:t>
      </w:r>
      <w:r>
        <w:rPr>
          <w:rFonts w:hint="default" w:ascii="宋体" w:hAnsi="宋体" w:eastAsia="宋体" w:cs="楷体"/>
          <w:color w:val="auto"/>
          <w:kern w:val="0"/>
          <w:sz w:val="24"/>
          <w:szCs w:val="24"/>
        </w:rPr>
        <w:t>山东湿腾环境科技有限公司</w:t>
      </w:r>
    </w:p>
    <w:p>
      <w:pPr>
        <w:widowControl/>
        <w:spacing w:line="360" w:lineRule="auto"/>
        <w:ind w:firstLine="480" w:firstLineChars="200"/>
        <w:jc w:val="left"/>
        <w:rPr>
          <w:rFonts w:ascii="宋体" w:hAnsi="宋体" w:eastAsia="宋体" w:cs="楷体"/>
          <w:color w:val="auto"/>
          <w:kern w:val="0"/>
          <w:sz w:val="24"/>
          <w:szCs w:val="24"/>
        </w:rPr>
      </w:pPr>
      <w:r>
        <w:rPr>
          <w:rFonts w:hint="eastAsia" w:ascii="宋体" w:hAnsi="宋体" w:eastAsia="宋体" w:cs="楷体"/>
          <w:color w:val="auto"/>
          <w:kern w:val="0"/>
          <w:sz w:val="24"/>
          <w:szCs w:val="24"/>
        </w:rPr>
        <w:t>双方本着平等自愿、诚实信用原则，经充分友好协商，订立如下合同条款，供双方恪守履行。</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一、产品信息及价款</w:t>
      </w:r>
    </w:p>
    <w:tbl>
      <w:tblPr>
        <w:tblStyle w:val="18"/>
        <w:tblW w:w="983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06"/>
        <w:gridCol w:w="1433"/>
        <w:gridCol w:w="2602"/>
        <w:gridCol w:w="600"/>
        <w:gridCol w:w="675"/>
        <w:gridCol w:w="1080"/>
        <w:gridCol w:w="825"/>
        <w:gridCol w:w="19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jc w:val="center"/>
        </w:trPr>
        <w:tc>
          <w:tcPr>
            <w:tcW w:w="706" w:type="dxa"/>
          </w:tcPr>
          <w:p>
            <w:pPr>
              <w:pStyle w:val="19"/>
              <w:spacing w:before="39"/>
              <w:ind w:left="134" w:right="134"/>
              <w:jc w:val="center"/>
              <w:rPr>
                <w:color w:val="auto"/>
                <w:sz w:val="19"/>
                <w:lang w:eastAsia="en-US"/>
              </w:rPr>
            </w:pPr>
            <w:r>
              <w:rPr>
                <w:color w:val="auto"/>
                <w:sz w:val="19"/>
                <w:lang w:eastAsia="en-US"/>
              </w:rPr>
              <w:t>序号</w:t>
            </w:r>
          </w:p>
        </w:tc>
        <w:tc>
          <w:tcPr>
            <w:tcW w:w="1433" w:type="dxa"/>
          </w:tcPr>
          <w:p>
            <w:pPr>
              <w:pStyle w:val="19"/>
              <w:spacing w:before="39"/>
              <w:ind w:left="386" w:right="386"/>
              <w:jc w:val="center"/>
              <w:rPr>
                <w:color w:val="auto"/>
                <w:sz w:val="19"/>
                <w:lang w:eastAsia="en-US"/>
              </w:rPr>
            </w:pPr>
            <w:r>
              <w:rPr>
                <w:color w:val="auto"/>
                <w:sz w:val="19"/>
                <w:lang w:eastAsia="en-US"/>
              </w:rPr>
              <w:t>名称</w:t>
            </w:r>
          </w:p>
        </w:tc>
        <w:tc>
          <w:tcPr>
            <w:tcW w:w="2602" w:type="dxa"/>
          </w:tcPr>
          <w:p>
            <w:pPr>
              <w:pStyle w:val="19"/>
              <w:spacing w:before="39"/>
              <w:ind w:left="341" w:right="340"/>
              <w:jc w:val="center"/>
              <w:rPr>
                <w:color w:val="auto"/>
                <w:sz w:val="19"/>
                <w:lang w:eastAsia="en-US"/>
              </w:rPr>
            </w:pPr>
            <w:r>
              <w:rPr>
                <w:color w:val="auto"/>
                <w:sz w:val="19"/>
                <w:lang w:eastAsia="en-US"/>
              </w:rPr>
              <w:t>型号</w:t>
            </w:r>
          </w:p>
        </w:tc>
        <w:tc>
          <w:tcPr>
            <w:tcW w:w="600" w:type="dxa"/>
          </w:tcPr>
          <w:p>
            <w:pPr>
              <w:pStyle w:val="19"/>
              <w:spacing w:before="39"/>
              <w:ind w:left="145" w:right="144"/>
              <w:jc w:val="center"/>
              <w:rPr>
                <w:color w:val="auto"/>
                <w:sz w:val="19"/>
                <w:lang w:eastAsia="en-US"/>
              </w:rPr>
            </w:pPr>
            <w:r>
              <w:rPr>
                <w:color w:val="auto"/>
                <w:sz w:val="19"/>
                <w:lang w:eastAsia="en-US"/>
              </w:rPr>
              <w:t>数量</w:t>
            </w:r>
          </w:p>
        </w:tc>
        <w:tc>
          <w:tcPr>
            <w:tcW w:w="675" w:type="dxa"/>
          </w:tcPr>
          <w:p>
            <w:pPr>
              <w:pStyle w:val="19"/>
              <w:spacing w:before="39"/>
              <w:ind w:left="145" w:right="143"/>
              <w:jc w:val="center"/>
              <w:rPr>
                <w:color w:val="auto"/>
                <w:sz w:val="19"/>
                <w:lang w:eastAsia="en-US"/>
              </w:rPr>
            </w:pPr>
            <w:r>
              <w:rPr>
                <w:color w:val="auto"/>
                <w:sz w:val="19"/>
                <w:lang w:eastAsia="en-US"/>
              </w:rPr>
              <w:t>单位</w:t>
            </w:r>
          </w:p>
        </w:tc>
        <w:tc>
          <w:tcPr>
            <w:tcW w:w="1080" w:type="dxa"/>
          </w:tcPr>
          <w:p>
            <w:pPr>
              <w:pStyle w:val="19"/>
              <w:spacing w:before="39"/>
              <w:ind w:left="268" w:right="265"/>
              <w:jc w:val="center"/>
              <w:rPr>
                <w:color w:val="auto"/>
                <w:sz w:val="19"/>
                <w:lang w:eastAsia="en-US"/>
              </w:rPr>
            </w:pPr>
            <w:r>
              <w:rPr>
                <w:color w:val="auto"/>
                <w:sz w:val="19"/>
                <w:lang w:eastAsia="en-US"/>
              </w:rPr>
              <w:t>单价</w:t>
            </w:r>
          </w:p>
        </w:tc>
        <w:tc>
          <w:tcPr>
            <w:tcW w:w="825" w:type="dxa"/>
          </w:tcPr>
          <w:p>
            <w:pPr>
              <w:pStyle w:val="19"/>
              <w:spacing w:before="39"/>
              <w:ind w:left="0" w:right="198"/>
              <w:jc w:val="right"/>
              <w:rPr>
                <w:color w:val="auto"/>
                <w:sz w:val="19"/>
                <w:lang w:eastAsia="en-US"/>
              </w:rPr>
            </w:pPr>
            <w:r>
              <w:rPr>
                <w:color w:val="auto"/>
                <w:sz w:val="19"/>
                <w:lang w:eastAsia="en-US"/>
              </w:rPr>
              <w:t>金额</w:t>
            </w:r>
          </w:p>
        </w:tc>
        <w:tc>
          <w:tcPr>
            <w:tcW w:w="1914" w:type="dxa"/>
          </w:tcPr>
          <w:p>
            <w:pPr>
              <w:pStyle w:val="19"/>
              <w:spacing w:before="39"/>
              <w:ind w:left="499" w:right="494"/>
              <w:jc w:val="center"/>
              <w:rPr>
                <w:color w:val="auto"/>
                <w:sz w:val="19"/>
                <w:lang w:eastAsia="en-US"/>
              </w:rPr>
            </w:pPr>
            <w:r>
              <w:rPr>
                <w:color w:val="auto"/>
                <w:sz w:val="19"/>
                <w:lang w:eastAsia="en-US"/>
              </w:rPr>
              <w:t>质保期（年）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jc w:val="center"/>
        </w:trPr>
        <w:tc>
          <w:tcPr>
            <w:tcW w:w="706" w:type="dxa"/>
          </w:tcPr>
          <w:p>
            <w:pPr>
              <w:pStyle w:val="19"/>
              <w:spacing w:before="51"/>
              <w:ind w:left="11"/>
              <w:jc w:val="center"/>
              <w:rPr>
                <w:color w:val="auto"/>
                <w:sz w:val="19"/>
                <w:lang w:eastAsia="en-US"/>
              </w:rPr>
            </w:pPr>
            <w:r>
              <w:rPr>
                <w:color w:val="auto"/>
                <w:w w:val="99"/>
                <w:sz w:val="19"/>
                <w:lang w:eastAsia="en-US"/>
              </w:rPr>
              <w:t>1</w:t>
            </w:r>
          </w:p>
        </w:tc>
        <w:tc>
          <w:tcPr>
            <w:tcW w:w="1433" w:type="dxa"/>
          </w:tcPr>
          <w:tbl>
            <w:tblPr>
              <w:tblW w:w="8800" w:type="dxa"/>
              <w:tblInd w:w="-6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0" w:type="dxa"/>
                <w:bottom w:w="0" w:type="dxa"/>
                <w:right w:w="0" w:type="dxa"/>
              </w:tblCellMar>
            </w:tblPr>
            <w:tblGrid>
              <w:gridCol w:w="8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00" w:type="dxa"/>
                  <w:tcBorders>
                    <w:top w:val="single" w:color="DDDDDD" w:sz="2" w:space="0"/>
                  </w:tcBorders>
                  <w:shd w:val="clear"/>
                  <w:tcMar>
                    <w:top w:w="60" w:type="dxa"/>
                    <w:left w:w="60" w:type="dxa"/>
                    <w:bottom w:w="60" w:type="dxa"/>
                    <w:right w:w="60" w:type="dxa"/>
                  </w:tcMar>
                  <w:vAlign w:val="top"/>
                </w:tcPr>
                <w:p>
                  <w:pPr>
                    <w:keepNext w:val="0"/>
                    <w:keepLines w:val="0"/>
                    <w:widowControl/>
                    <w:suppressLineNumbers w:val="0"/>
                    <w:spacing w:before="0" w:beforeAutospacing="0" w:after="0" w:afterAutospacing="0" w:line="11" w:lineRule="atLeast"/>
                    <w:ind w:left="0" w:right="0"/>
                    <w:jc w:val="left"/>
                    <w:textAlignment w:val="top"/>
                    <w:rPr>
                      <w:rFonts w:ascii="Helvetica" w:hAnsi="Helvetica" w:eastAsia="Helvetica" w:cs="Helvetica"/>
                      <w:i w:val="0"/>
                      <w:iCs w:val="0"/>
                      <w:caps w:val="0"/>
                      <w:color w:val="333333"/>
                      <w:spacing w:val="0"/>
                      <w:sz w:val="10"/>
                      <w:szCs w:val="10"/>
                    </w:rPr>
                  </w:pPr>
                  <w:r>
                    <w:rPr>
                      <w:rFonts w:hint="default" w:ascii="宋体" w:hAnsi="宋体" w:eastAsia="宋体" w:cs="宋体"/>
                      <w:color w:val="auto"/>
                      <w:kern w:val="0"/>
                      <w:sz w:val="19"/>
                      <w:szCs w:val="22"/>
                      <w:lang w:val="en-US" w:eastAsia="zh-CN" w:bidi="ar-SA"/>
                    </w:rPr>
                    <w:t>非标恒温恒湿机</w:t>
                  </w:r>
                </w:p>
              </w:tc>
            </w:tr>
          </w:tbl>
          <w:p>
            <w:pPr>
              <w:pStyle w:val="19"/>
              <w:spacing w:before="39"/>
              <w:ind w:left="386" w:right="386"/>
              <w:rPr>
                <w:color w:val="auto"/>
                <w:sz w:val="19"/>
                <w:lang w:eastAsia="en-US"/>
              </w:rPr>
            </w:pPr>
          </w:p>
        </w:tc>
        <w:tc>
          <w:tcPr>
            <w:tcW w:w="2602" w:type="dxa"/>
          </w:tcPr>
          <w:p>
            <w:pPr>
              <w:pStyle w:val="19"/>
              <w:spacing w:before="51"/>
              <w:ind w:left="351" w:right="340"/>
              <w:jc w:val="center"/>
              <w:rPr>
                <w:rFonts w:hint="eastAsia" w:eastAsia="宋体"/>
                <w:color w:val="auto"/>
                <w:sz w:val="19"/>
                <w:lang w:val="en-US" w:eastAsia="zh-CN"/>
              </w:rPr>
            </w:pPr>
            <w:r>
              <w:rPr>
                <w:rFonts w:hint="eastAsia"/>
                <w:color w:val="auto"/>
                <w:sz w:val="19"/>
                <w:lang w:eastAsia="en-US"/>
              </w:rPr>
              <w:t>HST-20-FB（顶送前回</w:t>
            </w:r>
            <w:r>
              <w:rPr>
                <w:rFonts w:hint="eastAsia"/>
                <w:color w:val="auto"/>
                <w:sz w:val="19"/>
                <w:lang w:eastAsia="zh-CN"/>
              </w:rPr>
              <w:t>）</w:t>
            </w:r>
            <w:bookmarkStart w:id="0" w:name="_GoBack"/>
            <w:bookmarkEnd w:id="0"/>
          </w:p>
        </w:tc>
        <w:tc>
          <w:tcPr>
            <w:tcW w:w="600" w:type="dxa"/>
          </w:tcPr>
          <w:p>
            <w:pPr>
              <w:pStyle w:val="19"/>
              <w:spacing w:before="51"/>
              <w:ind w:left="12"/>
              <w:jc w:val="center"/>
              <w:rPr>
                <w:rFonts w:hint="eastAsia" w:eastAsia="宋体"/>
                <w:color w:val="auto"/>
                <w:sz w:val="19"/>
                <w:lang w:val="en-US" w:eastAsia="zh-CN"/>
              </w:rPr>
            </w:pPr>
            <w:r>
              <w:rPr>
                <w:rFonts w:hint="eastAsia"/>
                <w:color w:val="auto"/>
                <w:sz w:val="19"/>
                <w:lang w:val="en-US" w:eastAsia="zh-CN"/>
              </w:rPr>
              <w:t>1</w:t>
            </w:r>
          </w:p>
        </w:tc>
        <w:tc>
          <w:tcPr>
            <w:tcW w:w="675" w:type="dxa"/>
          </w:tcPr>
          <w:p>
            <w:pPr>
              <w:pStyle w:val="19"/>
              <w:spacing w:before="39"/>
              <w:ind w:left="2"/>
              <w:jc w:val="center"/>
              <w:rPr>
                <w:rFonts w:hint="default" w:eastAsia="宋体"/>
                <w:color w:val="auto"/>
                <w:sz w:val="19"/>
                <w:lang w:val="en-US" w:eastAsia="zh-CN"/>
              </w:rPr>
            </w:pPr>
            <w:r>
              <w:rPr>
                <w:rFonts w:hint="eastAsia"/>
                <w:color w:val="auto"/>
                <w:sz w:val="19"/>
                <w:lang w:val="en-US" w:eastAsia="zh-CN"/>
              </w:rPr>
              <w:t>台</w:t>
            </w:r>
          </w:p>
        </w:tc>
        <w:tc>
          <w:tcPr>
            <w:tcW w:w="1080" w:type="dxa"/>
          </w:tcPr>
          <w:p>
            <w:pPr>
              <w:pStyle w:val="19"/>
              <w:spacing w:before="51"/>
              <w:ind w:left="279" w:right="265"/>
              <w:jc w:val="center"/>
              <w:rPr>
                <w:color w:val="auto"/>
                <w:sz w:val="19"/>
                <w:lang w:eastAsia="en-US"/>
              </w:rPr>
            </w:pPr>
            <w:r>
              <w:rPr>
                <w:rFonts w:hint="eastAsia"/>
                <w:color w:val="auto"/>
                <w:sz w:val="19"/>
                <w:lang w:eastAsia="en-US"/>
              </w:rPr>
              <w:t>21800</w:t>
            </w:r>
          </w:p>
        </w:tc>
        <w:tc>
          <w:tcPr>
            <w:tcW w:w="825" w:type="dxa"/>
          </w:tcPr>
          <w:p>
            <w:pPr>
              <w:pStyle w:val="19"/>
              <w:spacing w:before="51"/>
              <w:ind w:left="0" w:right="172"/>
              <w:jc w:val="right"/>
              <w:rPr>
                <w:color w:val="auto"/>
                <w:sz w:val="19"/>
                <w:lang w:eastAsia="en-US"/>
              </w:rPr>
            </w:pPr>
            <w:r>
              <w:rPr>
                <w:rFonts w:hint="eastAsia"/>
                <w:color w:val="auto"/>
                <w:sz w:val="19"/>
                <w:lang w:eastAsia="en-US"/>
              </w:rPr>
              <w:t>21800</w:t>
            </w:r>
          </w:p>
        </w:tc>
        <w:tc>
          <w:tcPr>
            <w:tcW w:w="1914" w:type="dxa"/>
          </w:tcPr>
          <w:p>
            <w:pPr>
              <w:pStyle w:val="19"/>
              <w:spacing w:before="51"/>
              <w:ind w:left="15"/>
              <w:jc w:val="center"/>
              <w:rPr>
                <w:color w:val="auto"/>
                <w:sz w:val="19"/>
                <w:lang w:eastAsia="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jc w:val="center"/>
        </w:trPr>
        <w:tc>
          <w:tcPr>
            <w:tcW w:w="9835" w:type="dxa"/>
            <w:gridSpan w:val="8"/>
          </w:tcPr>
          <w:p>
            <w:pPr>
              <w:pStyle w:val="19"/>
              <w:spacing w:before="39"/>
              <w:ind w:left="-3"/>
              <w:rPr>
                <w:color w:val="auto"/>
                <w:sz w:val="19"/>
                <w:lang w:eastAsia="zh-CN"/>
              </w:rPr>
            </w:pPr>
            <w:r>
              <w:rPr>
                <w:color w:val="auto"/>
                <w:spacing w:val="1"/>
                <w:sz w:val="19"/>
                <w:lang w:eastAsia="zh-CN"/>
              </w:rPr>
              <w:t>价款合计：</w:t>
            </w:r>
            <w:r>
              <w:rPr>
                <w:color w:val="auto"/>
                <w:spacing w:val="61"/>
                <w:sz w:val="19"/>
                <w:u w:val="single"/>
                <w:lang w:eastAsia="zh-CN"/>
              </w:rPr>
              <w:t xml:space="preserve"> </w:t>
            </w:r>
            <w:r>
              <w:rPr>
                <w:rFonts w:hint="eastAsia"/>
                <w:color w:val="auto"/>
                <w:sz w:val="19"/>
                <w:lang w:val="en-US" w:eastAsia="zh-CN"/>
              </w:rPr>
              <w:t>21800</w:t>
            </w:r>
            <w:r>
              <w:rPr>
                <w:color w:val="auto"/>
                <w:spacing w:val="61"/>
                <w:sz w:val="19"/>
                <w:u w:val="single"/>
                <w:lang w:eastAsia="zh-CN"/>
              </w:rPr>
              <w:t xml:space="preserve"> </w:t>
            </w:r>
            <w:r>
              <w:rPr>
                <w:color w:val="auto"/>
                <w:sz w:val="19"/>
                <w:lang w:eastAsia="zh-CN"/>
              </w:rPr>
              <w:t>元</w:t>
            </w:r>
            <w:r>
              <w:rPr>
                <w:color w:val="auto"/>
                <w:spacing w:val="15"/>
                <w:sz w:val="19"/>
                <w:lang w:eastAsia="zh-CN"/>
              </w:rPr>
              <w:t xml:space="preserve"> 人民币</w:t>
            </w:r>
            <w:r>
              <w:rPr>
                <w:color w:val="auto"/>
                <w:sz w:val="19"/>
                <w:lang w:eastAsia="zh-CN"/>
              </w:rPr>
              <w:t>（大写</w:t>
            </w:r>
            <w:r>
              <w:rPr>
                <w:rFonts w:hint="eastAsia"/>
                <w:color w:val="auto"/>
                <w:sz w:val="19"/>
                <w:lang w:val="en-US" w:eastAsia="zh-CN"/>
              </w:rPr>
              <w:t>贰万壹仟捌佰元整</w:t>
            </w:r>
            <w:r>
              <w:rPr>
                <w:color w:val="auto"/>
                <w:spacing w:val="2"/>
                <w:sz w:val="19"/>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5" w:hRule="atLeast"/>
          <w:jc w:val="center"/>
        </w:trPr>
        <w:tc>
          <w:tcPr>
            <w:tcW w:w="9835" w:type="dxa"/>
            <w:gridSpan w:val="8"/>
          </w:tcPr>
          <w:p>
            <w:pPr>
              <w:pStyle w:val="19"/>
              <w:spacing w:before="39"/>
              <w:ind w:left="-3"/>
              <w:rPr>
                <w:color w:val="auto"/>
                <w:sz w:val="19"/>
                <w:lang w:eastAsia="zh-CN"/>
              </w:rPr>
            </w:pPr>
            <w:r>
              <w:rPr>
                <w:color w:val="auto"/>
                <w:sz w:val="19"/>
                <w:lang w:eastAsia="zh-CN"/>
              </w:rPr>
              <w:t>备注：价款</w:t>
            </w:r>
            <w:r>
              <w:rPr>
                <w:rFonts w:hint="eastAsia"/>
                <w:color w:val="auto"/>
                <w:sz w:val="19"/>
                <w:lang w:eastAsia="zh-CN"/>
              </w:rPr>
              <w:t>含</w:t>
            </w:r>
            <w:r>
              <w:rPr>
                <w:color w:val="auto"/>
                <w:sz w:val="19"/>
                <w:lang w:eastAsia="zh-CN"/>
              </w:rPr>
              <w:t>13％增值税</w:t>
            </w:r>
          </w:p>
        </w:tc>
      </w:tr>
    </w:tbl>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二、付款方式</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1、合同签订之日起</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3</w:t>
      </w:r>
      <w:r>
        <w:rPr>
          <w:rFonts w:ascii="宋体" w:hAnsi="宋体" w:eastAsia="宋体" w:cs="楷体"/>
          <w:color w:val="auto"/>
          <w:kern w:val="0"/>
          <w:sz w:val="24"/>
          <w:szCs w:val="24"/>
          <w:u w:val="single"/>
        </w:rPr>
        <w:t xml:space="preserve"> </w:t>
      </w:r>
      <w:r>
        <w:rPr>
          <w:rFonts w:ascii="宋体" w:hAnsi="宋体" w:eastAsia="宋体" w:cs="楷体"/>
          <w:color w:val="auto"/>
          <w:kern w:val="0"/>
          <w:sz w:val="24"/>
          <w:szCs w:val="24"/>
        </w:rPr>
        <w:t>日内</w:t>
      </w:r>
      <w:r>
        <w:rPr>
          <w:rFonts w:hint="eastAsia" w:ascii="宋体" w:hAnsi="宋体" w:eastAsia="宋体" w:cs="楷体"/>
          <w:color w:val="auto"/>
          <w:kern w:val="0"/>
          <w:sz w:val="24"/>
          <w:szCs w:val="24"/>
        </w:rPr>
        <w:t>，甲方支付合同价款的</w:t>
      </w:r>
      <w:r>
        <w:rPr>
          <w:rFonts w:hint="eastAsia"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30</w:t>
      </w:r>
      <w:r>
        <w:rPr>
          <w:rFonts w:ascii="宋体" w:hAnsi="宋体" w:eastAsia="宋体" w:cs="楷体"/>
          <w:color w:val="auto"/>
          <w:kern w:val="0"/>
          <w:sz w:val="24"/>
          <w:szCs w:val="24"/>
          <w:u w:val="single"/>
        </w:rPr>
        <w:t xml:space="preserve"> </w:t>
      </w:r>
      <w:r>
        <w:rPr>
          <w:rFonts w:ascii="宋体" w:hAnsi="宋体" w:eastAsia="宋体" w:cs="楷体"/>
          <w:color w:val="auto"/>
          <w:kern w:val="0"/>
          <w:sz w:val="24"/>
          <w:szCs w:val="24"/>
          <w:u w:val="none"/>
        </w:rPr>
        <w:t>%</w:t>
      </w:r>
      <w:r>
        <w:rPr>
          <w:rFonts w:hint="eastAsia" w:ascii="宋体" w:hAnsi="宋体" w:eastAsia="宋体" w:cs="楷体"/>
          <w:color w:val="auto"/>
          <w:kern w:val="0"/>
          <w:sz w:val="24"/>
          <w:szCs w:val="24"/>
          <w:u w:val="none"/>
          <w:lang w:val="en-US" w:eastAsia="zh-Hans"/>
        </w:rPr>
        <w:t>作为</w:t>
      </w:r>
      <w:r>
        <w:rPr>
          <w:rFonts w:hint="eastAsia" w:ascii="宋体" w:hAnsi="宋体" w:eastAsia="宋体" w:cs="楷体"/>
          <w:color w:val="auto"/>
          <w:kern w:val="0"/>
          <w:sz w:val="24"/>
          <w:szCs w:val="24"/>
          <w:lang w:val="en-US" w:eastAsia="zh-Hans"/>
        </w:rPr>
        <w:t>预付款</w:t>
      </w:r>
      <w:r>
        <w:rPr>
          <w:rFonts w:hint="eastAsia" w:ascii="宋体" w:hAnsi="宋体" w:eastAsia="宋体" w:cs="楷体"/>
          <w:color w:val="auto"/>
          <w:kern w:val="0"/>
          <w:sz w:val="24"/>
          <w:szCs w:val="24"/>
        </w:rPr>
        <w:t>，共计人民币</w:t>
      </w:r>
      <w:r>
        <w:rPr>
          <w:rFonts w:hint="eastAsia" w:ascii="宋体" w:hAnsi="宋体" w:eastAsia="宋体" w:cs="楷体"/>
          <w:color w:val="auto"/>
          <w:kern w:val="0"/>
          <w:sz w:val="24"/>
          <w:szCs w:val="24"/>
          <w:u w:val="single"/>
        </w:rPr>
        <w:t xml:space="preserve"> </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6540</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rPr>
        <w:t>元（大写：</w:t>
      </w:r>
      <w:r>
        <w:rPr>
          <w:rFonts w:hint="eastAsia" w:ascii="宋体" w:hAnsi="宋体" w:eastAsia="宋体" w:cs="楷体"/>
          <w:color w:val="auto"/>
          <w:kern w:val="0"/>
          <w:sz w:val="24"/>
          <w:szCs w:val="24"/>
          <w:lang w:val="en-US" w:eastAsia="zh-CN"/>
        </w:rPr>
        <w:t>陆仟伍佰肆拾元整</w:t>
      </w:r>
      <w:r>
        <w:rPr>
          <w:rFonts w:hint="eastAsia" w:ascii="宋体" w:hAnsi="宋体" w:eastAsia="宋体" w:cs="楷体"/>
          <w:color w:val="auto"/>
          <w:kern w:val="0"/>
          <w:sz w:val="24"/>
          <w:szCs w:val="24"/>
        </w:rPr>
        <w:t xml:space="preserve"> </w:t>
      </w:r>
      <w:r>
        <w:rPr>
          <w:rFonts w:ascii="宋体" w:hAnsi="宋体" w:eastAsia="宋体" w:cs="楷体"/>
          <w:color w:val="auto"/>
          <w:kern w:val="0"/>
          <w:sz w:val="24"/>
          <w:szCs w:val="24"/>
        </w:rPr>
        <w:t xml:space="preserve">   </w:t>
      </w:r>
      <w:r>
        <w:rPr>
          <w:rFonts w:hint="eastAsia" w:ascii="宋体" w:hAnsi="宋体" w:eastAsia="宋体" w:cs="楷体"/>
          <w:color w:val="auto"/>
          <w:kern w:val="0"/>
          <w:sz w:val="24"/>
          <w:szCs w:val="24"/>
        </w:rPr>
        <w:t>）。</w:t>
      </w:r>
    </w:p>
    <w:p>
      <w:pPr>
        <w:widowControl/>
        <w:spacing w:line="360" w:lineRule="auto"/>
        <w:ind w:firstLine="480" w:firstLineChars="200"/>
        <w:jc w:val="left"/>
        <w:rPr>
          <w:rFonts w:ascii="宋体" w:hAnsi="宋体" w:eastAsia="宋体" w:cs="楷体"/>
          <w:color w:val="auto"/>
          <w:kern w:val="0"/>
          <w:sz w:val="24"/>
          <w:szCs w:val="24"/>
        </w:rPr>
      </w:pPr>
      <w:r>
        <w:rPr>
          <w:rFonts w:hint="eastAsia" w:ascii="宋体" w:hAnsi="宋体" w:eastAsia="宋体" w:cs="楷体"/>
          <w:color w:val="auto"/>
          <w:kern w:val="0"/>
          <w:sz w:val="24"/>
          <w:szCs w:val="24"/>
        </w:rPr>
        <w:t>2、</w:t>
      </w:r>
      <w:r>
        <w:rPr>
          <w:rFonts w:hint="eastAsia" w:ascii="宋体" w:hAnsi="宋体" w:eastAsia="宋体" w:cs="楷体"/>
          <w:color w:val="auto"/>
          <w:kern w:val="0"/>
          <w:sz w:val="24"/>
          <w:szCs w:val="24"/>
          <w:lang w:val="en-US" w:eastAsia="zh-Hans"/>
        </w:rPr>
        <w:t>生产完毕</w:t>
      </w:r>
      <w:r>
        <w:rPr>
          <w:rFonts w:hint="eastAsia" w:ascii="宋体" w:hAnsi="宋体" w:eastAsia="宋体" w:cs="楷体"/>
          <w:color w:val="auto"/>
          <w:kern w:val="0"/>
          <w:sz w:val="24"/>
          <w:szCs w:val="24"/>
        </w:rPr>
        <w:t>发货前，甲方应支付</w:t>
      </w:r>
      <w:r>
        <w:rPr>
          <w:rFonts w:hint="eastAsia"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70</w:t>
      </w:r>
      <w:r>
        <w:rPr>
          <w:rFonts w:ascii="宋体" w:hAnsi="宋体" w:eastAsia="宋体" w:cs="楷体"/>
          <w:color w:val="auto"/>
          <w:kern w:val="0"/>
          <w:sz w:val="24"/>
          <w:szCs w:val="24"/>
          <w:u w:val="single"/>
        </w:rPr>
        <w:t xml:space="preserve"> </w:t>
      </w:r>
      <w:r>
        <w:rPr>
          <w:rFonts w:ascii="宋体" w:hAnsi="宋体" w:eastAsia="宋体" w:cs="楷体"/>
          <w:color w:val="auto"/>
          <w:kern w:val="0"/>
          <w:sz w:val="24"/>
          <w:szCs w:val="24"/>
          <w:u w:val="none"/>
        </w:rPr>
        <w:t>%</w:t>
      </w:r>
      <w:r>
        <w:rPr>
          <w:rFonts w:hint="eastAsia" w:ascii="宋体" w:hAnsi="宋体" w:eastAsia="宋体" w:cs="楷体"/>
          <w:color w:val="auto"/>
          <w:kern w:val="0"/>
          <w:sz w:val="24"/>
          <w:szCs w:val="24"/>
        </w:rPr>
        <w:t>尾款，共计人民币</w:t>
      </w:r>
      <w:r>
        <w:rPr>
          <w:rFonts w:hint="eastAsia" w:ascii="宋体" w:hAnsi="宋体" w:eastAsia="宋体" w:cs="楷体"/>
          <w:color w:val="auto"/>
          <w:kern w:val="0"/>
          <w:sz w:val="24"/>
          <w:szCs w:val="24"/>
          <w:u w:val="single"/>
        </w:rPr>
        <w:t xml:space="preserve"> </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15260</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rPr>
        <w:t>元（大写：</w:t>
      </w:r>
      <w:r>
        <w:rPr>
          <w:rFonts w:hint="eastAsia"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壹万伍仟贰佰陆拾元整</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rPr>
        <w:t>）。</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3、甲方以银行转帐方式支付到本合同载明的乙方银行账户，甲方以任何其他方式支付货款的，均不能视为已经履行付款义务，相应后果由甲方自行承担。</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三、</w:t>
      </w:r>
      <w:r>
        <w:rPr>
          <w:rFonts w:hint="eastAsia" w:ascii="宋体" w:hAnsi="宋体" w:eastAsia="宋体" w:cs="楷体"/>
          <w:b/>
          <w:bCs/>
          <w:color w:val="auto"/>
          <w:kern w:val="0"/>
          <w:sz w:val="24"/>
          <w:szCs w:val="24"/>
          <w:lang w:val="en-US" w:eastAsia="zh-Hans"/>
        </w:rPr>
        <w:t>交货</w:t>
      </w:r>
      <w:r>
        <w:rPr>
          <w:rFonts w:hint="eastAsia" w:ascii="宋体" w:hAnsi="宋体" w:eastAsia="宋体" w:cs="楷体"/>
          <w:b/>
          <w:bCs/>
          <w:color w:val="auto"/>
          <w:kern w:val="0"/>
          <w:sz w:val="24"/>
          <w:szCs w:val="24"/>
        </w:rPr>
        <w:t>规定</w:t>
      </w:r>
    </w:p>
    <w:p>
      <w:pPr>
        <w:widowControl/>
        <w:spacing w:line="360" w:lineRule="auto"/>
        <w:ind w:firstLine="480" w:firstLineChars="200"/>
        <w:jc w:val="left"/>
        <w:rPr>
          <w:rFonts w:hint="eastAsia" w:ascii="宋体" w:hAnsi="宋体" w:eastAsia="宋体" w:cs="楷体"/>
          <w:color w:val="auto"/>
          <w:kern w:val="0"/>
          <w:sz w:val="24"/>
          <w:szCs w:val="24"/>
        </w:rPr>
      </w:pPr>
      <w:r>
        <w:rPr>
          <w:rFonts w:hint="eastAsia" w:ascii="宋体" w:hAnsi="宋体" w:eastAsia="宋体" w:cs="楷体"/>
          <w:color w:val="auto"/>
          <w:kern w:val="0"/>
          <w:sz w:val="24"/>
          <w:szCs w:val="24"/>
        </w:rPr>
        <w:t>1、</w:t>
      </w:r>
      <w:r>
        <w:rPr>
          <w:rFonts w:ascii="宋体" w:hAnsi="宋体" w:eastAsia="宋体" w:cs="楷体"/>
          <w:color w:val="auto"/>
          <w:kern w:val="0"/>
          <w:sz w:val="24"/>
          <w:szCs w:val="24"/>
        </w:rPr>
        <w:t>乙方</w:t>
      </w:r>
      <w:r>
        <w:rPr>
          <w:rFonts w:hint="eastAsia" w:ascii="宋体" w:hAnsi="宋体" w:eastAsia="宋体" w:cs="楷体"/>
          <w:color w:val="auto"/>
          <w:kern w:val="0"/>
          <w:sz w:val="24"/>
          <w:szCs w:val="24"/>
          <w:lang w:val="en-US" w:eastAsia="zh-Hans"/>
        </w:rPr>
        <w:t>收到预付款后安排生产</w:t>
      </w:r>
      <w:r>
        <w:rPr>
          <w:rFonts w:hint="default" w:ascii="宋体" w:hAnsi="宋体" w:eastAsia="宋体" w:cs="楷体"/>
          <w:color w:val="auto"/>
          <w:kern w:val="0"/>
          <w:sz w:val="24"/>
          <w:szCs w:val="24"/>
          <w:lang w:eastAsia="zh-Hans"/>
        </w:rPr>
        <w:t>，</w:t>
      </w:r>
      <w:r>
        <w:rPr>
          <w:rFonts w:hint="eastAsia" w:ascii="宋体" w:hAnsi="宋体" w:eastAsia="宋体" w:cs="楷体"/>
          <w:color w:val="auto"/>
          <w:kern w:val="0"/>
          <w:sz w:val="24"/>
          <w:szCs w:val="24"/>
          <w:lang w:val="en-US" w:eastAsia="zh-Hans"/>
        </w:rPr>
        <w:t>生产周期为</w:t>
      </w:r>
      <w:r>
        <w:rPr>
          <w:rFonts w:hint="default" w:ascii="宋体" w:hAnsi="宋体" w:eastAsia="宋体" w:cs="楷体"/>
          <w:color w:val="auto"/>
          <w:kern w:val="0"/>
          <w:sz w:val="24"/>
          <w:szCs w:val="24"/>
          <w:u w:val="single"/>
          <w:lang w:eastAsia="zh-Hans"/>
        </w:rPr>
        <w:t xml:space="preserve">  </w:t>
      </w:r>
      <w:r>
        <w:rPr>
          <w:rFonts w:hint="eastAsia" w:ascii="宋体" w:hAnsi="宋体" w:eastAsia="宋体" w:cs="楷体"/>
          <w:color w:val="auto"/>
          <w:kern w:val="0"/>
          <w:sz w:val="24"/>
          <w:szCs w:val="24"/>
          <w:u w:val="single"/>
          <w:lang w:val="en-US" w:eastAsia="zh-CN"/>
        </w:rPr>
        <w:t>14</w:t>
      </w:r>
      <w:r>
        <w:rPr>
          <w:rFonts w:hint="default" w:ascii="宋体" w:hAnsi="宋体" w:eastAsia="宋体" w:cs="楷体"/>
          <w:color w:val="auto"/>
          <w:kern w:val="0"/>
          <w:sz w:val="24"/>
          <w:szCs w:val="24"/>
          <w:u w:val="single"/>
          <w:lang w:eastAsia="zh-Hans"/>
        </w:rPr>
        <w:t xml:space="preserve">  </w:t>
      </w:r>
      <w:r>
        <w:rPr>
          <w:rFonts w:hint="eastAsia" w:ascii="宋体" w:hAnsi="宋体" w:eastAsia="宋体" w:cs="楷体"/>
          <w:color w:val="auto"/>
          <w:kern w:val="0"/>
          <w:sz w:val="24"/>
          <w:szCs w:val="24"/>
          <w:u w:val="none"/>
          <w:lang w:val="en-US" w:eastAsia="zh-Hans"/>
        </w:rPr>
        <w:t>个工作日</w:t>
      </w:r>
      <w:r>
        <w:rPr>
          <w:rFonts w:hint="default" w:ascii="宋体" w:hAnsi="宋体" w:eastAsia="宋体" w:cs="楷体"/>
          <w:color w:val="auto"/>
          <w:kern w:val="0"/>
          <w:sz w:val="24"/>
          <w:szCs w:val="24"/>
          <w:u w:val="none"/>
          <w:lang w:eastAsia="zh-Hans"/>
        </w:rPr>
        <w:t>；</w:t>
      </w:r>
      <w:r>
        <w:rPr>
          <w:rFonts w:hint="eastAsia" w:ascii="宋体" w:hAnsi="宋体" w:eastAsia="宋体" w:cs="楷体"/>
          <w:color w:val="auto"/>
          <w:kern w:val="0"/>
          <w:sz w:val="24"/>
          <w:szCs w:val="24"/>
          <w:u w:val="none"/>
          <w:lang w:val="en-US" w:eastAsia="zh-Hans"/>
        </w:rPr>
        <w:t>乙方生产完毕并收到尾款</w:t>
      </w:r>
      <w:r>
        <w:rPr>
          <w:rFonts w:hint="eastAsia" w:ascii="宋体" w:hAnsi="宋体" w:eastAsia="宋体" w:cs="楷体"/>
          <w:color w:val="auto"/>
          <w:kern w:val="0"/>
          <w:sz w:val="24"/>
          <w:szCs w:val="24"/>
          <w:lang w:val="en-US" w:eastAsia="zh-Hans"/>
        </w:rPr>
        <w:t>后3个工作日内安</w:t>
      </w:r>
      <w:r>
        <w:rPr>
          <w:rFonts w:hint="eastAsia" w:ascii="宋体" w:hAnsi="宋体" w:eastAsia="宋体" w:cs="楷体"/>
          <w:color w:val="auto"/>
          <w:kern w:val="0"/>
          <w:sz w:val="24"/>
          <w:szCs w:val="24"/>
          <w:u w:val="none"/>
          <w:lang w:val="en-US" w:eastAsia="zh-Hans"/>
        </w:rPr>
        <w:t>排发货</w:t>
      </w:r>
      <w:r>
        <w:rPr>
          <w:rFonts w:hint="default" w:ascii="宋体" w:hAnsi="宋体" w:eastAsia="宋体" w:cs="楷体"/>
          <w:color w:val="auto"/>
          <w:kern w:val="0"/>
          <w:sz w:val="24"/>
          <w:szCs w:val="24"/>
          <w:u w:val="none"/>
          <w:lang w:eastAsia="zh-Hans"/>
        </w:rPr>
        <w:t>，</w:t>
      </w:r>
      <w:r>
        <w:rPr>
          <w:rFonts w:ascii="宋体" w:hAnsi="宋体" w:eastAsia="宋体" w:cs="楷体"/>
          <w:color w:val="auto"/>
          <w:kern w:val="0"/>
          <w:sz w:val="24"/>
          <w:szCs w:val="24"/>
        </w:rPr>
        <w:t>运费</w:t>
      </w:r>
      <w:r>
        <w:rPr>
          <w:rFonts w:hint="eastAsia" w:ascii="宋体" w:hAnsi="宋体" w:eastAsia="宋体" w:cs="楷体"/>
          <w:color w:val="auto"/>
          <w:kern w:val="0"/>
          <w:sz w:val="24"/>
          <w:szCs w:val="24"/>
        </w:rPr>
        <w:t>：</w:t>
      </w:r>
      <w:r>
        <w:rPr>
          <w:rFonts w:hint="eastAsia" w:ascii="宋体" w:hAnsi="宋体" w:eastAsia="宋体" w:cs="楷体"/>
          <w:color w:val="auto"/>
          <w:kern w:val="0"/>
          <w:sz w:val="24"/>
          <w:szCs w:val="24"/>
          <w:u w:val="single"/>
        </w:rPr>
        <w:t xml:space="preserve"> </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lang w:val="en-US" w:eastAsia="zh-CN"/>
        </w:rPr>
        <w:t>甲方负责</w:t>
      </w:r>
      <w:r>
        <w:rPr>
          <w:rFonts w:ascii="宋体" w:hAnsi="宋体" w:eastAsia="宋体" w:cs="楷体"/>
          <w:color w:val="auto"/>
          <w:kern w:val="0"/>
          <w:sz w:val="24"/>
          <w:szCs w:val="24"/>
          <w:u w:val="single"/>
        </w:rPr>
        <w:t xml:space="preserve">   </w:t>
      </w:r>
      <w:r>
        <w:rPr>
          <w:rFonts w:ascii="宋体" w:hAnsi="宋体" w:eastAsia="宋体" w:cs="楷体"/>
          <w:color w:val="auto"/>
          <w:kern w:val="0"/>
          <w:sz w:val="24"/>
          <w:szCs w:val="24"/>
        </w:rPr>
        <w:t>，甲方指定的收货</w:t>
      </w:r>
      <w:r>
        <w:rPr>
          <w:rFonts w:hint="eastAsia" w:ascii="宋体" w:hAnsi="宋体" w:eastAsia="宋体" w:cs="楷体"/>
          <w:color w:val="auto"/>
          <w:kern w:val="0"/>
          <w:sz w:val="24"/>
          <w:szCs w:val="24"/>
        </w:rPr>
        <w:t>地址</w:t>
      </w:r>
      <w:r>
        <w:rPr>
          <w:rFonts w:ascii="宋体" w:hAnsi="宋体" w:eastAsia="宋体" w:cs="楷体"/>
          <w:color w:val="auto"/>
          <w:kern w:val="0"/>
          <w:sz w:val="24"/>
          <w:szCs w:val="24"/>
        </w:rPr>
        <w:t>：</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u w:val="single"/>
        </w:rPr>
        <w:t xml:space="preserve"> </w:t>
      </w:r>
      <w:r>
        <w:rPr>
          <w:rFonts w:ascii="宋体" w:hAnsi="宋体" w:eastAsia="宋体" w:cs="楷体"/>
          <w:color w:val="auto"/>
          <w:kern w:val="0"/>
          <w:sz w:val="24"/>
          <w:szCs w:val="24"/>
          <w:u w:val="single"/>
        </w:rPr>
        <w:t xml:space="preserve">       </w:t>
      </w:r>
      <w:r>
        <w:rPr>
          <w:rFonts w:hint="eastAsia" w:ascii="宋体" w:hAnsi="宋体" w:eastAsia="宋体" w:cs="楷体"/>
          <w:color w:val="auto"/>
          <w:kern w:val="0"/>
          <w:sz w:val="24"/>
          <w:szCs w:val="24"/>
        </w:rPr>
        <w:t>。</w:t>
      </w:r>
    </w:p>
    <w:p>
      <w:pPr>
        <w:widowControl/>
        <w:spacing w:line="360" w:lineRule="auto"/>
        <w:ind w:firstLine="480" w:firstLineChars="200"/>
        <w:jc w:val="left"/>
        <w:rPr>
          <w:rFonts w:hint="eastAsia" w:ascii="宋体" w:hAnsi="宋体" w:eastAsia="宋体" w:cs="楷体"/>
          <w:color w:val="auto"/>
          <w:kern w:val="0"/>
          <w:sz w:val="24"/>
          <w:szCs w:val="24"/>
        </w:rPr>
      </w:pPr>
      <w:r>
        <w:rPr>
          <w:rFonts w:hint="default" w:ascii="宋体" w:hAnsi="宋体" w:eastAsia="宋体" w:cs="楷体"/>
          <w:color w:val="auto"/>
          <w:kern w:val="0"/>
          <w:sz w:val="24"/>
          <w:szCs w:val="24"/>
        </w:rPr>
        <w:t>2、</w:t>
      </w:r>
      <w:r>
        <w:rPr>
          <w:rFonts w:hint="eastAsia" w:ascii="宋体" w:hAnsi="宋体" w:eastAsia="宋体" w:cs="楷体"/>
          <w:color w:val="auto"/>
          <w:kern w:val="0"/>
          <w:sz w:val="24"/>
          <w:szCs w:val="24"/>
        </w:rPr>
        <w:t>因甲方逾期付款或由甲方原因造成乙方延迟发货的，则乙方有权按合同总价日千分之一为标准收取仓储费，且乙方不负逾期交货的违约责任。</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四、质量标准</w:t>
      </w:r>
    </w:p>
    <w:p>
      <w:pPr>
        <w:widowControl/>
        <w:spacing w:line="360" w:lineRule="auto"/>
        <w:ind w:firstLine="480" w:firstLineChars="200"/>
        <w:jc w:val="left"/>
        <w:rPr>
          <w:rFonts w:ascii="宋体" w:hAnsi="宋体" w:eastAsia="宋体" w:cs="楷体"/>
          <w:color w:val="auto"/>
          <w:kern w:val="0"/>
          <w:sz w:val="24"/>
          <w:szCs w:val="24"/>
        </w:rPr>
      </w:pPr>
      <w:r>
        <w:rPr>
          <w:rFonts w:hint="eastAsia" w:ascii="宋体" w:hAnsi="宋体" w:eastAsia="宋体" w:cs="楷体"/>
          <w:color w:val="auto"/>
          <w:kern w:val="0"/>
          <w:sz w:val="24"/>
          <w:szCs w:val="24"/>
        </w:rPr>
        <w:t>产品需符合国家标准、企业标准或乙方产品出厂技术要求。</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五、验收条款</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1、甲方（含甲方工作人员或指定代收人）收到货物应立即清点数量并核对货物型号等信息，如与合同或送货单载明不同，应拒绝签收并立即电话通知乙方，同时应提供照片等有关证据供乙方核实。</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2、甲方签收货物之日起7日内组织验收，否则视为验收合格。</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3、若乙方交付的货物不合格，甲方应于签收货物之日起15日内以书面形式通知乙方，经乙方确认无误后予以换货；在乙方向甲方予以更换前，甲方应负责妥善保管被更换的货物并完好的交还乙方，否则乙方有权拒绝换货。</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4、超过本条第2、3款规定时限，甲方提出质量问题的，乙方按合同约定提供维修等售后服务。</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六、包装要求</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外包装需足够安全，在到达甲方时不损坏任何机器部件，非乙方原因引起的问题乙方不承担责任；外包装不回收，甲方可自行处理，但建议至少保留15天。</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七、安装</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产品由甲方负责安装，因甲方安装造成的产品毁损等责任均与乙方无关</w:t>
      </w:r>
      <w:r>
        <w:rPr>
          <w:rFonts w:hint="eastAsia" w:ascii="宋体" w:hAnsi="宋体" w:eastAsia="宋体" w:cs="楷体"/>
          <w:color w:val="auto"/>
          <w:kern w:val="0"/>
          <w:sz w:val="24"/>
          <w:szCs w:val="24"/>
        </w:rPr>
        <w:t>。</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八、质保及售后</w:t>
      </w:r>
    </w:p>
    <w:p>
      <w:pPr>
        <w:widowControl/>
        <w:spacing w:line="360" w:lineRule="auto"/>
        <w:ind w:firstLine="480" w:firstLineChars="200"/>
        <w:jc w:val="left"/>
        <w:rPr>
          <w:rFonts w:ascii="宋体" w:hAnsi="宋体" w:eastAsia="宋体" w:cs="楷体"/>
          <w:color w:val="auto"/>
          <w:kern w:val="0"/>
          <w:sz w:val="24"/>
          <w:szCs w:val="24"/>
        </w:rPr>
      </w:pPr>
      <w:r>
        <w:rPr>
          <w:rFonts w:hint="eastAsia" w:ascii="宋体" w:hAnsi="宋体" w:eastAsia="宋体" w:cs="楷体"/>
          <w:color w:val="auto"/>
          <w:kern w:val="0"/>
          <w:sz w:val="24"/>
          <w:szCs w:val="24"/>
        </w:rPr>
        <w:t>1、整机质保期自甲方验收合格之日起算。</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2、质保期内因产品自身质量原因出现故障，乙方将按售后服务承诺免费保修，但甲方人为操作不当、保管不善或第三方过错等原因引起的故障除外。</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3、质保期届满后，若甲方需乙方提供维修或维护服务，乙方将收取合理零配件费用及服务费用。</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九、违约责任</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1、甲方逾期付款或乙方逾期</w:t>
      </w:r>
      <w:r>
        <w:rPr>
          <w:rFonts w:hint="eastAsia" w:ascii="宋体" w:hAnsi="宋体" w:eastAsia="宋体" w:cs="楷体"/>
          <w:color w:val="auto"/>
          <w:kern w:val="0"/>
          <w:sz w:val="24"/>
          <w:szCs w:val="24"/>
          <w:lang w:val="en-US" w:eastAsia="zh-Hans"/>
        </w:rPr>
        <w:t>交货</w:t>
      </w:r>
      <w:r>
        <w:rPr>
          <w:rFonts w:ascii="宋体" w:hAnsi="宋体" w:eastAsia="宋体" w:cs="楷体"/>
          <w:color w:val="auto"/>
          <w:kern w:val="0"/>
          <w:sz w:val="24"/>
          <w:szCs w:val="24"/>
        </w:rPr>
        <w:t>，则每逾期一日，按合同金额的1％支付违约金。</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2、甲方逾期付款或乙方逾期</w:t>
      </w:r>
      <w:r>
        <w:rPr>
          <w:rFonts w:hint="eastAsia" w:ascii="宋体" w:hAnsi="宋体" w:eastAsia="宋体" w:cs="楷体"/>
          <w:color w:val="auto"/>
          <w:kern w:val="0"/>
          <w:sz w:val="24"/>
          <w:szCs w:val="24"/>
          <w:lang w:val="en-US" w:eastAsia="zh-Hans"/>
        </w:rPr>
        <w:t>交货</w:t>
      </w:r>
      <w:r>
        <w:rPr>
          <w:rFonts w:ascii="宋体" w:hAnsi="宋体" w:eastAsia="宋体" w:cs="楷体"/>
          <w:color w:val="auto"/>
          <w:kern w:val="0"/>
          <w:sz w:val="24"/>
          <w:szCs w:val="24"/>
        </w:rPr>
        <w:t>超过30日，则对方有权解除合同，并要求按照合同金额的30%支付违约金。</w:t>
      </w:r>
    </w:p>
    <w:p>
      <w:pPr>
        <w:pStyle w:val="4"/>
        <w:spacing w:line="280" w:lineRule="auto"/>
        <w:ind w:right="422"/>
        <w:rPr>
          <w:rFonts w:hint="eastAsia"/>
          <w:color w:val="auto"/>
        </w:rPr>
      </w:pPr>
      <w:r>
        <w:rPr>
          <w:rFonts w:hint="eastAsia" w:ascii="宋体" w:hAnsi="宋体" w:eastAsia="宋体" w:cs="楷体"/>
          <w:color w:val="auto"/>
          <w:kern w:val="0"/>
          <w:sz w:val="24"/>
          <w:szCs w:val="24"/>
        </w:rPr>
        <w:t>3、合同生效后，任何一方不得单方解除合同，否则应向守约方支付合同总价的30%作为违约金；违约方支付的违约金金额低于因其违约行为给守约方造成的实际损失的，违约方应补足违约金与实际损失之间的差额。</w:t>
      </w:r>
    </w:p>
    <w:p>
      <w:pPr>
        <w:widowControl/>
        <w:spacing w:line="360" w:lineRule="auto"/>
        <w:ind w:firstLine="480" w:firstLineChars="200"/>
        <w:jc w:val="left"/>
        <w:rPr>
          <w:rFonts w:hint="eastAsia" w:ascii="宋体" w:hAnsi="宋体" w:eastAsia="宋体" w:cs="楷体"/>
          <w:color w:val="auto"/>
          <w:kern w:val="0"/>
          <w:sz w:val="24"/>
          <w:szCs w:val="24"/>
        </w:rPr>
      </w:pP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十、不可抗力</w:t>
      </w:r>
    </w:p>
    <w:p>
      <w:pPr>
        <w:widowControl/>
        <w:spacing w:line="360" w:lineRule="auto"/>
        <w:ind w:firstLine="480" w:firstLineChars="200"/>
        <w:jc w:val="left"/>
        <w:rPr>
          <w:rFonts w:hint="eastAsia" w:ascii="宋体" w:hAnsi="宋体" w:eastAsia="宋体" w:cs="楷体"/>
          <w:color w:val="auto"/>
          <w:kern w:val="0"/>
          <w:sz w:val="24"/>
          <w:szCs w:val="24"/>
        </w:rPr>
      </w:pPr>
      <w:r>
        <w:rPr>
          <w:rFonts w:hint="eastAsia" w:ascii="宋体" w:hAnsi="宋体" w:eastAsia="宋体" w:cs="楷体"/>
          <w:color w:val="auto"/>
          <w:kern w:val="0"/>
          <w:sz w:val="24"/>
          <w:szCs w:val="24"/>
        </w:rPr>
        <w:t>1、由于不能预见、不能避免且不能克服的自然灾害、战争、军事行动、疫情等不可抗力事件的影响而不能履行或不能完全履行本合同时，任何一方均应当在不可抗力事件发生之日起5日内书面通知另一方并说明不能履行或者不能完全履行本合同的理由。</w:t>
      </w:r>
    </w:p>
    <w:p>
      <w:pPr>
        <w:widowControl/>
        <w:spacing w:line="360" w:lineRule="auto"/>
        <w:ind w:firstLine="480" w:firstLineChars="200"/>
        <w:jc w:val="left"/>
        <w:rPr>
          <w:rFonts w:hint="eastAsia" w:ascii="宋体" w:hAnsi="宋体" w:eastAsia="宋体" w:cs="楷体"/>
          <w:color w:val="auto"/>
          <w:kern w:val="0"/>
          <w:sz w:val="24"/>
          <w:szCs w:val="24"/>
        </w:rPr>
      </w:pPr>
      <w:r>
        <w:rPr>
          <w:rFonts w:hint="eastAsia" w:ascii="宋体" w:hAnsi="宋体" w:eastAsia="宋体" w:cs="楷体"/>
          <w:color w:val="auto"/>
          <w:kern w:val="0"/>
          <w:sz w:val="24"/>
          <w:szCs w:val="24"/>
        </w:rPr>
        <w:t>2、由于不可抗力事件，引起合同不能履行或者不能完全履行的，任何一方均不会因此承担违约责任，但不可抗力发生在迟延履行本合同期间，则其不得免责。</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十一、纠纷解决方式</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因履行本合同所发生的或与本合同有关的一切争议，双方应通过友好协商解决；协商不成时，由乙方住所地人民法院管辖。</w:t>
      </w:r>
    </w:p>
    <w:p>
      <w:pPr>
        <w:widowControl/>
        <w:spacing w:line="360" w:lineRule="auto"/>
        <w:ind w:firstLine="482" w:firstLineChars="200"/>
        <w:jc w:val="left"/>
        <w:rPr>
          <w:rFonts w:ascii="宋体" w:hAnsi="宋体" w:eastAsia="宋体" w:cs="楷体"/>
          <w:b/>
          <w:bCs/>
          <w:color w:val="auto"/>
          <w:kern w:val="0"/>
          <w:sz w:val="24"/>
          <w:szCs w:val="24"/>
        </w:rPr>
      </w:pPr>
      <w:r>
        <w:rPr>
          <w:rFonts w:hint="eastAsia" w:ascii="宋体" w:hAnsi="宋体" w:eastAsia="宋体" w:cs="楷体"/>
          <w:b/>
          <w:bCs/>
          <w:color w:val="auto"/>
          <w:kern w:val="0"/>
          <w:sz w:val="24"/>
          <w:szCs w:val="24"/>
        </w:rPr>
        <w:t>十二、其他</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1、本合同经双方签字盖章后生效，共一式两份，甲乙双方各执一份，每一份均具有同等法律效力；扫描件、传真件与原件的法律效力等同。</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2、本合同经过双方充分磋商，不构成格式合同。</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3、对本合同的变更和补充应由双方以书面形式签署并加盖公章或合同专用章方生效。</w:t>
      </w:r>
    </w:p>
    <w:p>
      <w:pPr>
        <w:widowControl/>
        <w:spacing w:line="360" w:lineRule="auto"/>
        <w:ind w:firstLine="480" w:firstLineChars="200"/>
        <w:jc w:val="left"/>
        <w:rPr>
          <w:rFonts w:ascii="宋体" w:hAnsi="宋体" w:eastAsia="宋体" w:cs="楷体"/>
          <w:color w:val="auto"/>
          <w:kern w:val="0"/>
          <w:sz w:val="24"/>
          <w:szCs w:val="24"/>
        </w:rPr>
      </w:pPr>
      <w:r>
        <w:rPr>
          <w:rFonts w:ascii="宋体" w:hAnsi="宋体" w:eastAsia="宋体" w:cs="楷体"/>
          <w:color w:val="auto"/>
          <w:kern w:val="0"/>
          <w:sz w:val="24"/>
          <w:szCs w:val="24"/>
        </w:rPr>
        <w:t>4、本合同及其附件构成双方就本合同标的达成的全部协议, 并且取代双方此前就此交易进行的所有磋商、谈判以及其他协议,包括但不限于广告单、报价单、往来电子邮件、短信等。（正文完）</w:t>
      </w:r>
    </w:p>
    <w:p>
      <w:pPr>
        <w:widowControl/>
        <w:spacing w:line="360" w:lineRule="auto"/>
        <w:ind w:firstLine="420" w:firstLineChars="200"/>
        <w:jc w:val="center"/>
        <w:rPr>
          <w:b/>
          <w:color w:val="auto"/>
          <w:sz w:val="28"/>
          <w:szCs w:val="18"/>
        </w:rPr>
      </w:pPr>
      <w:r>
        <w:rPr>
          <w:rFonts w:ascii="宋体" w:hAnsi="宋体" w:eastAsia="宋体"/>
          <w:color w:val="auto"/>
        </w:rPr>
        <w:t>【以下无正文，为双方签署页】</w:t>
      </w:r>
    </w:p>
    <w:tbl>
      <w:tblPr>
        <w:tblStyle w:val="18"/>
        <w:tblW w:w="0" w:type="auto"/>
        <w:jc w:val="center"/>
        <w:tblLayout w:type="fixed"/>
        <w:tblCellMar>
          <w:top w:w="0" w:type="dxa"/>
          <w:left w:w="0" w:type="dxa"/>
          <w:bottom w:w="0" w:type="dxa"/>
          <w:right w:w="0" w:type="dxa"/>
        </w:tblCellMar>
      </w:tblPr>
      <w:tblGrid>
        <w:gridCol w:w="904"/>
        <w:gridCol w:w="4027"/>
        <w:gridCol w:w="1204"/>
        <w:gridCol w:w="3123"/>
      </w:tblGrid>
      <w:tr>
        <w:tblPrEx>
          <w:tblCellMar>
            <w:top w:w="0" w:type="dxa"/>
            <w:left w:w="0" w:type="dxa"/>
            <w:bottom w:w="0" w:type="dxa"/>
            <w:right w:w="0" w:type="dxa"/>
          </w:tblCellMar>
        </w:tblPrEx>
        <w:trPr>
          <w:trHeight w:val="1168" w:hRule="atLeast"/>
          <w:jc w:val="center"/>
        </w:trPr>
        <w:tc>
          <w:tcPr>
            <w:tcW w:w="904" w:type="dxa"/>
          </w:tcPr>
          <w:p>
            <w:pPr>
              <w:pStyle w:val="19"/>
              <w:spacing w:before="0" w:line="217" w:lineRule="exact"/>
              <w:ind w:left="50"/>
              <w:rPr>
                <w:b/>
                <w:color w:val="auto"/>
                <w:sz w:val="18"/>
                <w:lang w:eastAsia="en-US"/>
              </w:rPr>
            </w:pPr>
            <w:r>
              <w:rPr>
                <w:b/>
                <w:color w:val="auto"/>
                <w:sz w:val="18"/>
                <w:lang w:eastAsia="en-US"/>
              </w:rPr>
              <w:t>甲 方</w:t>
            </w:r>
          </w:p>
          <w:p>
            <w:pPr>
              <w:pStyle w:val="19"/>
              <w:spacing w:before="73"/>
              <w:ind w:left="50"/>
              <w:rPr>
                <w:b/>
                <w:color w:val="auto"/>
                <w:sz w:val="18"/>
                <w:lang w:eastAsia="en-US"/>
              </w:rPr>
            </w:pPr>
            <w:r>
              <w:rPr>
                <w:b/>
                <w:color w:val="auto"/>
                <w:sz w:val="18"/>
                <w:lang w:eastAsia="en-US"/>
              </w:rPr>
              <w:t>地址</w:t>
            </w:r>
          </w:p>
          <w:p>
            <w:pPr>
              <w:pStyle w:val="19"/>
              <w:spacing w:before="72"/>
              <w:ind w:left="50"/>
              <w:rPr>
                <w:b/>
                <w:color w:val="auto"/>
                <w:sz w:val="18"/>
                <w:lang w:eastAsia="en-US"/>
              </w:rPr>
            </w:pPr>
            <w:r>
              <w:rPr>
                <w:b/>
                <w:color w:val="auto"/>
                <w:sz w:val="18"/>
                <w:lang w:eastAsia="en-US"/>
              </w:rPr>
              <w:t>授权代表</w:t>
            </w:r>
          </w:p>
        </w:tc>
        <w:tc>
          <w:tcPr>
            <w:tcW w:w="4027" w:type="dxa"/>
          </w:tcPr>
          <w:p>
            <w:pPr>
              <w:pStyle w:val="19"/>
              <w:spacing w:before="0" w:line="217" w:lineRule="exact"/>
              <w:rPr>
                <w:b/>
                <w:color w:val="auto"/>
                <w:sz w:val="18"/>
                <w:lang w:eastAsia="en-US"/>
              </w:rPr>
            </w:pPr>
            <w:r>
              <w:rPr>
                <w:b/>
                <w:color w:val="auto"/>
                <w:sz w:val="18"/>
                <w:lang w:eastAsia="en-US"/>
              </w:rPr>
              <w:t>：</w:t>
            </w:r>
            <w:r>
              <w:rPr>
                <w:rFonts w:hint="eastAsia" w:ascii="宋体" w:hAnsi="宋体" w:eastAsia="宋体" w:cs="楷体"/>
                <w:color w:val="auto"/>
                <w:kern w:val="0"/>
                <w:sz w:val="24"/>
                <w:szCs w:val="24"/>
              </w:rPr>
              <w:t>山东依诺瓦电器有限公司</w:t>
            </w:r>
          </w:p>
          <w:p>
            <w:pPr>
              <w:pStyle w:val="19"/>
              <w:spacing w:before="73"/>
              <w:rPr>
                <w:b/>
                <w:color w:val="auto"/>
                <w:sz w:val="18"/>
                <w:lang w:eastAsia="en-US"/>
              </w:rPr>
            </w:pPr>
            <w:r>
              <w:rPr>
                <w:b/>
                <w:color w:val="auto"/>
                <w:sz w:val="18"/>
                <w:lang w:eastAsia="en-US"/>
              </w:rPr>
              <w:t>：</w:t>
            </w:r>
            <w:r>
              <w:rPr>
                <w:rFonts w:hint="eastAsia"/>
                <w:b/>
                <w:color w:val="auto"/>
                <w:sz w:val="18"/>
                <w:lang w:eastAsia="en-US"/>
              </w:rPr>
              <w:t xml:space="preserve"> </w:t>
            </w:r>
          </w:p>
          <w:p>
            <w:pPr>
              <w:pStyle w:val="19"/>
              <w:spacing w:before="72"/>
              <w:rPr>
                <w:rFonts w:hint="default" w:eastAsia="宋体"/>
                <w:b/>
                <w:color w:val="auto"/>
                <w:sz w:val="18"/>
                <w:lang w:val="en-US" w:eastAsia="zh-CN"/>
              </w:rPr>
            </w:pPr>
            <w:r>
              <w:rPr>
                <w:b/>
                <w:color w:val="auto"/>
                <w:sz w:val="18"/>
                <w:lang w:eastAsia="en-US"/>
              </w:rPr>
              <w:t>：</w:t>
            </w:r>
            <w:r>
              <w:rPr>
                <w:rFonts w:hint="eastAsia"/>
                <w:b/>
                <w:color w:val="auto"/>
                <w:sz w:val="18"/>
                <w:lang w:eastAsia="en-US"/>
              </w:rPr>
              <w:t xml:space="preserve"> </w:t>
            </w:r>
            <w:r>
              <w:rPr>
                <w:rFonts w:hint="eastAsia"/>
                <w:b/>
                <w:color w:val="auto"/>
                <w:sz w:val="18"/>
                <w:lang w:val="en-US" w:eastAsia="zh-CN"/>
              </w:rPr>
              <w:t>李厚亮</w:t>
            </w:r>
          </w:p>
        </w:tc>
        <w:tc>
          <w:tcPr>
            <w:tcW w:w="1204" w:type="dxa"/>
          </w:tcPr>
          <w:p>
            <w:pPr>
              <w:pStyle w:val="19"/>
              <w:spacing w:before="0" w:line="217" w:lineRule="exact"/>
              <w:ind w:left="333"/>
              <w:rPr>
                <w:b/>
                <w:color w:val="auto"/>
                <w:sz w:val="18"/>
                <w:lang w:eastAsia="zh-CN"/>
              </w:rPr>
            </w:pPr>
            <w:r>
              <w:rPr>
                <w:b/>
                <w:color w:val="auto"/>
                <w:w w:val="95"/>
                <w:sz w:val="18"/>
                <w:lang w:eastAsia="zh-CN"/>
              </w:rPr>
              <w:t>乙方</w:t>
            </w:r>
          </w:p>
          <w:p>
            <w:pPr>
              <w:pStyle w:val="19"/>
              <w:spacing w:before="73"/>
              <w:ind w:left="333"/>
              <w:rPr>
                <w:b/>
                <w:color w:val="auto"/>
                <w:sz w:val="18"/>
                <w:lang w:eastAsia="zh-CN"/>
              </w:rPr>
            </w:pPr>
            <w:r>
              <w:rPr>
                <w:b/>
                <w:color w:val="auto"/>
                <w:w w:val="95"/>
                <w:sz w:val="18"/>
                <w:lang w:eastAsia="zh-CN"/>
              </w:rPr>
              <w:t>地址</w:t>
            </w:r>
          </w:p>
          <w:p>
            <w:pPr>
              <w:pStyle w:val="19"/>
              <w:spacing w:before="72"/>
              <w:ind w:left="333"/>
              <w:rPr>
                <w:b/>
                <w:color w:val="auto"/>
                <w:sz w:val="18"/>
                <w:lang w:eastAsia="zh-CN"/>
              </w:rPr>
            </w:pPr>
            <w:r>
              <w:rPr>
                <w:b/>
                <w:color w:val="auto"/>
                <w:sz w:val="18"/>
                <w:lang w:eastAsia="zh-CN"/>
              </w:rPr>
              <w:t>授权代表</w:t>
            </w:r>
          </w:p>
        </w:tc>
        <w:tc>
          <w:tcPr>
            <w:tcW w:w="3123" w:type="dxa"/>
          </w:tcPr>
          <w:p>
            <w:pPr>
              <w:pStyle w:val="19"/>
              <w:spacing w:before="0" w:line="217" w:lineRule="exact"/>
              <w:ind w:left="43"/>
              <w:rPr>
                <w:b/>
                <w:color w:val="auto"/>
                <w:sz w:val="18"/>
                <w:lang w:eastAsia="zh-CN"/>
              </w:rPr>
            </w:pPr>
            <w:r>
              <w:rPr>
                <w:b/>
                <w:color w:val="auto"/>
                <w:sz w:val="18"/>
                <w:lang w:eastAsia="zh-CN"/>
              </w:rPr>
              <w:t>：上海湿腾电器有限公司</w:t>
            </w:r>
          </w:p>
          <w:p>
            <w:pPr>
              <w:pStyle w:val="19"/>
              <w:spacing w:before="73"/>
              <w:ind w:left="43"/>
              <w:rPr>
                <w:b/>
                <w:color w:val="auto"/>
                <w:sz w:val="18"/>
                <w:lang w:eastAsia="zh-CN"/>
              </w:rPr>
            </w:pPr>
            <w:r>
              <w:rPr>
                <w:b/>
                <w:color w:val="auto"/>
                <w:sz w:val="18"/>
                <w:lang w:eastAsia="zh-CN"/>
              </w:rPr>
              <w:t>：上海市金都西路</w:t>
            </w:r>
            <w:r>
              <w:rPr>
                <w:rFonts w:ascii="Arial" w:eastAsia="Arial"/>
                <w:b/>
                <w:color w:val="auto"/>
                <w:sz w:val="18"/>
                <w:lang w:eastAsia="zh-CN"/>
              </w:rPr>
              <w:t>688</w:t>
            </w:r>
            <w:r>
              <w:rPr>
                <w:b/>
                <w:color w:val="auto"/>
                <w:sz w:val="18"/>
                <w:lang w:eastAsia="zh-CN"/>
              </w:rPr>
              <w:t>号</w:t>
            </w:r>
            <w:r>
              <w:rPr>
                <w:rFonts w:ascii="Arial" w:eastAsia="Arial"/>
                <w:b/>
                <w:color w:val="auto"/>
                <w:sz w:val="18"/>
                <w:lang w:eastAsia="zh-CN"/>
              </w:rPr>
              <w:t>6</w:t>
            </w:r>
            <w:r>
              <w:rPr>
                <w:b/>
                <w:color w:val="auto"/>
                <w:sz w:val="18"/>
                <w:lang w:eastAsia="zh-CN"/>
              </w:rPr>
              <w:t>幢</w:t>
            </w:r>
            <w:r>
              <w:rPr>
                <w:rFonts w:ascii="Arial" w:eastAsia="Arial"/>
                <w:b/>
                <w:color w:val="auto"/>
                <w:sz w:val="18"/>
                <w:lang w:eastAsia="zh-CN"/>
              </w:rPr>
              <w:t>4</w:t>
            </w:r>
            <w:r>
              <w:rPr>
                <w:b/>
                <w:color w:val="auto"/>
                <w:sz w:val="18"/>
                <w:lang w:eastAsia="zh-CN"/>
              </w:rPr>
              <w:t>楼</w:t>
            </w:r>
          </w:p>
          <w:p>
            <w:pPr>
              <w:pStyle w:val="19"/>
              <w:spacing w:before="72"/>
              <w:ind w:left="43"/>
              <w:rPr>
                <w:b/>
                <w:color w:val="auto"/>
                <w:sz w:val="18"/>
                <w:lang w:eastAsia="en-US"/>
              </w:rPr>
            </w:pPr>
            <w:r>
              <w:rPr>
                <w:b/>
                <w:color w:val="auto"/>
                <w:sz w:val="18"/>
                <w:lang w:eastAsia="en-US"/>
              </w:rPr>
              <w:t>：</w:t>
            </w:r>
            <w:r>
              <w:rPr>
                <w:rFonts w:hint="eastAsia"/>
                <w:b/>
                <w:color w:val="auto"/>
                <w:sz w:val="18"/>
                <w:lang w:val="en-US" w:eastAsia="zh-CN"/>
              </w:rPr>
              <w:t>武玉伟</w:t>
            </w:r>
          </w:p>
        </w:tc>
      </w:tr>
      <w:tr>
        <w:tblPrEx>
          <w:tblCellMar>
            <w:top w:w="0" w:type="dxa"/>
            <w:left w:w="0" w:type="dxa"/>
            <w:bottom w:w="0" w:type="dxa"/>
            <w:right w:w="0" w:type="dxa"/>
          </w:tblCellMar>
        </w:tblPrEx>
        <w:trPr>
          <w:trHeight w:val="433" w:hRule="atLeast"/>
          <w:jc w:val="center"/>
        </w:trPr>
        <w:tc>
          <w:tcPr>
            <w:tcW w:w="904" w:type="dxa"/>
          </w:tcPr>
          <w:p>
            <w:pPr>
              <w:pStyle w:val="19"/>
              <w:spacing w:before="36"/>
              <w:ind w:left="50"/>
              <w:rPr>
                <w:b/>
                <w:color w:val="auto"/>
                <w:sz w:val="18"/>
                <w:lang w:eastAsia="en-US"/>
              </w:rPr>
            </w:pPr>
            <w:r>
              <w:rPr>
                <w:b/>
                <w:color w:val="auto"/>
                <w:sz w:val="18"/>
                <w:lang w:eastAsia="en-US"/>
              </w:rPr>
              <w:t>电 话</w:t>
            </w:r>
          </w:p>
        </w:tc>
        <w:tc>
          <w:tcPr>
            <w:tcW w:w="4027" w:type="dxa"/>
          </w:tcPr>
          <w:p>
            <w:pPr>
              <w:pStyle w:val="19"/>
              <w:spacing w:before="36"/>
              <w:rPr>
                <w:rFonts w:hint="default" w:ascii="Arial" w:eastAsia="宋体"/>
                <w:b/>
                <w:color w:val="auto"/>
                <w:sz w:val="18"/>
                <w:lang w:val="en-US" w:eastAsia="zh-CN"/>
              </w:rPr>
            </w:pPr>
            <w:r>
              <w:rPr>
                <w:b/>
                <w:color w:val="auto"/>
                <w:sz w:val="18"/>
                <w:lang w:eastAsia="en-US"/>
              </w:rPr>
              <w:t>：</w:t>
            </w:r>
            <w:r>
              <w:rPr>
                <w:rFonts w:ascii="Arial" w:eastAsia="Arial"/>
                <w:b/>
                <w:color w:val="auto"/>
                <w:sz w:val="18"/>
                <w:lang w:eastAsia="en-US"/>
              </w:rPr>
              <w:t xml:space="preserve"> </w:t>
            </w:r>
            <w:r>
              <w:rPr>
                <w:rFonts w:hint="eastAsia" w:ascii="Arial"/>
                <w:b/>
                <w:color w:val="auto"/>
                <w:sz w:val="18"/>
                <w:lang w:val="en-US" w:eastAsia="zh-CN"/>
              </w:rPr>
              <w:t>18669925882</w:t>
            </w:r>
          </w:p>
        </w:tc>
        <w:tc>
          <w:tcPr>
            <w:tcW w:w="1204" w:type="dxa"/>
          </w:tcPr>
          <w:p>
            <w:pPr>
              <w:pStyle w:val="19"/>
              <w:spacing w:before="36"/>
              <w:ind w:left="333"/>
              <w:rPr>
                <w:b/>
                <w:color w:val="auto"/>
                <w:sz w:val="18"/>
                <w:lang w:eastAsia="en-US"/>
              </w:rPr>
            </w:pPr>
            <w:r>
              <w:rPr>
                <w:b/>
                <w:color w:val="auto"/>
                <w:sz w:val="18"/>
                <w:lang w:eastAsia="en-US"/>
              </w:rPr>
              <w:t>电 话</w:t>
            </w:r>
          </w:p>
        </w:tc>
        <w:tc>
          <w:tcPr>
            <w:tcW w:w="3123" w:type="dxa"/>
          </w:tcPr>
          <w:p>
            <w:pPr>
              <w:pStyle w:val="19"/>
              <w:spacing w:before="36"/>
              <w:ind w:left="43"/>
              <w:rPr>
                <w:rFonts w:hint="default" w:ascii="Arial" w:eastAsia="宋体"/>
                <w:b/>
                <w:color w:val="auto"/>
                <w:sz w:val="18"/>
                <w:lang w:val="en-US" w:eastAsia="zh-CN"/>
              </w:rPr>
            </w:pPr>
            <w:r>
              <w:rPr>
                <w:b/>
                <w:color w:val="auto"/>
                <w:sz w:val="18"/>
                <w:lang w:eastAsia="en-US"/>
              </w:rPr>
              <w:t>：</w:t>
            </w:r>
          </w:p>
        </w:tc>
      </w:tr>
      <w:tr>
        <w:tblPrEx>
          <w:tblCellMar>
            <w:top w:w="0" w:type="dxa"/>
            <w:left w:w="0" w:type="dxa"/>
            <w:bottom w:w="0" w:type="dxa"/>
            <w:right w:w="0" w:type="dxa"/>
          </w:tblCellMar>
        </w:tblPrEx>
        <w:trPr>
          <w:trHeight w:val="421" w:hRule="atLeast"/>
          <w:jc w:val="center"/>
        </w:trPr>
        <w:tc>
          <w:tcPr>
            <w:tcW w:w="904" w:type="dxa"/>
          </w:tcPr>
          <w:p>
            <w:pPr>
              <w:pStyle w:val="19"/>
              <w:ind w:left="50"/>
              <w:rPr>
                <w:b/>
                <w:color w:val="auto"/>
                <w:sz w:val="18"/>
                <w:lang w:eastAsia="en-US"/>
              </w:rPr>
            </w:pPr>
            <w:r>
              <w:rPr>
                <w:b/>
                <w:color w:val="auto"/>
                <w:sz w:val="18"/>
                <w:lang w:eastAsia="en-US"/>
              </w:rPr>
              <w:t>传 真</w:t>
            </w:r>
          </w:p>
        </w:tc>
        <w:tc>
          <w:tcPr>
            <w:tcW w:w="4027" w:type="dxa"/>
          </w:tcPr>
          <w:p>
            <w:pPr>
              <w:pStyle w:val="19"/>
              <w:rPr>
                <w:b/>
                <w:color w:val="auto"/>
                <w:sz w:val="18"/>
                <w:lang w:eastAsia="en-US"/>
              </w:rPr>
            </w:pPr>
            <w:r>
              <w:rPr>
                <w:b/>
                <w:color w:val="auto"/>
                <w:w w:val="99"/>
                <w:sz w:val="18"/>
                <w:lang w:eastAsia="en-US"/>
              </w:rPr>
              <w:t>：</w:t>
            </w:r>
          </w:p>
        </w:tc>
        <w:tc>
          <w:tcPr>
            <w:tcW w:w="1204" w:type="dxa"/>
          </w:tcPr>
          <w:p>
            <w:pPr>
              <w:pStyle w:val="19"/>
              <w:ind w:left="333"/>
              <w:rPr>
                <w:b/>
                <w:color w:val="auto"/>
                <w:sz w:val="18"/>
                <w:lang w:eastAsia="en-US"/>
              </w:rPr>
            </w:pPr>
            <w:r>
              <w:rPr>
                <w:b/>
                <w:color w:val="auto"/>
                <w:sz w:val="18"/>
                <w:lang w:eastAsia="en-US"/>
              </w:rPr>
              <w:t>传 真</w:t>
            </w:r>
          </w:p>
        </w:tc>
        <w:tc>
          <w:tcPr>
            <w:tcW w:w="3123" w:type="dxa"/>
          </w:tcPr>
          <w:p>
            <w:pPr>
              <w:pStyle w:val="19"/>
              <w:ind w:left="43"/>
              <w:rPr>
                <w:b/>
                <w:color w:val="auto"/>
                <w:sz w:val="18"/>
                <w:lang w:eastAsia="en-US"/>
              </w:rPr>
            </w:pPr>
            <w:r>
              <w:rPr>
                <w:b/>
                <w:color w:val="auto"/>
                <w:w w:val="99"/>
                <w:sz w:val="18"/>
                <w:lang w:eastAsia="en-US"/>
              </w:rPr>
              <w:t>：</w:t>
            </w:r>
          </w:p>
        </w:tc>
      </w:tr>
      <w:tr>
        <w:tblPrEx>
          <w:tblCellMar>
            <w:top w:w="0" w:type="dxa"/>
            <w:left w:w="0" w:type="dxa"/>
            <w:bottom w:w="0" w:type="dxa"/>
            <w:right w:w="0" w:type="dxa"/>
          </w:tblCellMar>
        </w:tblPrEx>
        <w:trPr>
          <w:trHeight w:val="433" w:hRule="atLeast"/>
          <w:jc w:val="center"/>
        </w:trPr>
        <w:tc>
          <w:tcPr>
            <w:tcW w:w="904" w:type="dxa"/>
          </w:tcPr>
          <w:p>
            <w:pPr>
              <w:pStyle w:val="19"/>
              <w:spacing w:before="36"/>
              <w:ind w:left="50"/>
              <w:rPr>
                <w:b/>
                <w:color w:val="auto"/>
                <w:sz w:val="18"/>
                <w:lang w:eastAsia="en-US"/>
              </w:rPr>
            </w:pPr>
            <w:r>
              <w:rPr>
                <w:b/>
                <w:color w:val="auto"/>
                <w:sz w:val="18"/>
                <w:lang w:eastAsia="en-US"/>
              </w:rPr>
              <w:t>开户银行</w:t>
            </w:r>
          </w:p>
        </w:tc>
        <w:tc>
          <w:tcPr>
            <w:tcW w:w="4027" w:type="dxa"/>
          </w:tcPr>
          <w:p>
            <w:pPr>
              <w:pStyle w:val="19"/>
              <w:spacing w:before="36"/>
              <w:rPr>
                <w:b/>
                <w:color w:val="auto"/>
                <w:sz w:val="18"/>
                <w:lang w:eastAsia="en-US"/>
              </w:rPr>
            </w:pPr>
            <w:r>
              <w:rPr>
                <w:b/>
                <w:color w:val="auto"/>
                <w:sz w:val="18"/>
                <w:lang w:eastAsia="en-US"/>
              </w:rPr>
              <w:t>：</w:t>
            </w:r>
            <w:r>
              <w:rPr>
                <w:rFonts w:hint="eastAsia"/>
                <w:b/>
                <w:color w:val="auto"/>
                <w:sz w:val="18"/>
                <w:lang w:eastAsia="en-US"/>
              </w:rPr>
              <w:t xml:space="preserve"> </w:t>
            </w:r>
          </w:p>
        </w:tc>
        <w:tc>
          <w:tcPr>
            <w:tcW w:w="1204" w:type="dxa"/>
          </w:tcPr>
          <w:p>
            <w:pPr>
              <w:pStyle w:val="19"/>
              <w:spacing w:before="36"/>
              <w:ind w:left="333"/>
              <w:rPr>
                <w:b/>
                <w:color w:val="auto"/>
                <w:sz w:val="18"/>
                <w:lang w:eastAsia="en-US"/>
              </w:rPr>
            </w:pPr>
            <w:r>
              <w:rPr>
                <w:b/>
                <w:color w:val="auto"/>
                <w:sz w:val="18"/>
                <w:lang w:eastAsia="en-US"/>
              </w:rPr>
              <w:t>开户银行</w:t>
            </w:r>
          </w:p>
        </w:tc>
        <w:tc>
          <w:tcPr>
            <w:tcW w:w="3123" w:type="dxa"/>
          </w:tcPr>
          <w:p>
            <w:pPr>
              <w:pStyle w:val="19"/>
              <w:spacing w:before="36"/>
              <w:ind w:left="43"/>
              <w:rPr>
                <w:b/>
                <w:color w:val="auto"/>
                <w:sz w:val="18"/>
                <w:lang w:eastAsia="zh-CN"/>
              </w:rPr>
            </w:pPr>
            <w:r>
              <w:rPr>
                <w:b/>
                <w:color w:val="auto"/>
                <w:sz w:val="18"/>
                <w:lang w:eastAsia="zh-CN"/>
              </w:rPr>
              <w:t>：工行上海市莘庄工业区支行</w:t>
            </w:r>
          </w:p>
        </w:tc>
      </w:tr>
      <w:tr>
        <w:tblPrEx>
          <w:tblCellMar>
            <w:top w:w="0" w:type="dxa"/>
            <w:left w:w="0" w:type="dxa"/>
            <w:bottom w:w="0" w:type="dxa"/>
            <w:right w:w="0" w:type="dxa"/>
          </w:tblCellMar>
        </w:tblPrEx>
        <w:trPr>
          <w:trHeight w:val="433" w:hRule="atLeast"/>
          <w:jc w:val="center"/>
        </w:trPr>
        <w:tc>
          <w:tcPr>
            <w:tcW w:w="904" w:type="dxa"/>
          </w:tcPr>
          <w:p>
            <w:pPr>
              <w:pStyle w:val="19"/>
              <w:spacing w:before="36"/>
              <w:ind w:left="50"/>
              <w:rPr>
                <w:b/>
                <w:color w:val="auto"/>
                <w:sz w:val="18"/>
                <w:lang w:eastAsia="en-US"/>
              </w:rPr>
            </w:pPr>
            <w:r>
              <w:rPr>
                <w:b/>
                <w:color w:val="auto"/>
                <w:sz w:val="18"/>
                <w:lang w:eastAsia="en-US"/>
              </w:rPr>
              <w:t>账 号</w:t>
            </w:r>
          </w:p>
        </w:tc>
        <w:tc>
          <w:tcPr>
            <w:tcW w:w="4027" w:type="dxa"/>
          </w:tcPr>
          <w:p>
            <w:pPr>
              <w:pStyle w:val="19"/>
              <w:spacing w:before="36"/>
              <w:rPr>
                <w:rFonts w:ascii="Arial" w:eastAsia="Arial"/>
                <w:b/>
                <w:color w:val="auto"/>
                <w:sz w:val="18"/>
                <w:lang w:eastAsia="en-US"/>
              </w:rPr>
            </w:pPr>
            <w:r>
              <w:rPr>
                <w:b/>
                <w:color w:val="auto"/>
                <w:sz w:val="18"/>
                <w:lang w:eastAsia="en-US"/>
              </w:rPr>
              <w:t>：</w:t>
            </w:r>
            <w:r>
              <w:rPr>
                <w:rFonts w:ascii="Arial" w:eastAsia="Arial"/>
                <w:b/>
                <w:color w:val="auto"/>
                <w:sz w:val="18"/>
                <w:lang w:eastAsia="en-US"/>
              </w:rPr>
              <w:t xml:space="preserve"> </w:t>
            </w:r>
          </w:p>
        </w:tc>
        <w:tc>
          <w:tcPr>
            <w:tcW w:w="1204" w:type="dxa"/>
          </w:tcPr>
          <w:p>
            <w:pPr>
              <w:pStyle w:val="19"/>
              <w:spacing w:before="36"/>
              <w:ind w:left="333"/>
              <w:rPr>
                <w:b/>
                <w:color w:val="auto"/>
                <w:sz w:val="18"/>
                <w:lang w:eastAsia="en-US"/>
              </w:rPr>
            </w:pPr>
            <w:r>
              <w:rPr>
                <w:b/>
                <w:color w:val="auto"/>
                <w:sz w:val="18"/>
                <w:lang w:eastAsia="en-US"/>
              </w:rPr>
              <w:t>账 号</w:t>
            </w:r>
          </w:p>
        </w:tc>
        <w:tc>
          <w:tcPr>
            <w:tcW w:w="3123" w:type="dxa"/>
          </w:tcPr>
          <w:p>
            <w:pPr>
              <w:pStyle w:val="19"/>
              <w:spacing w:before="36"/>
              <w:ind w:left="43"/>
              <w:rPr>
                <w:rFonts w:ascii="Arial" w:eastAsia="Arial"/>
                <w:b/>
                <w:color w:val="auto"/>
                <w:sz w:val="18"/>
                <w:lang w:eastAsia="en-US"/>
              </w:rPr>
            </w:pPr>
            <w:r>
              <w:rPr>
                <w:b/>
                <w:color w:val="auto"/>
                <w:sz w:val="18"/>
                <w:lang w:eastAsia="en-US"/>
              </w:rPr>
              <w:t>：</w:t>
            </w:r>
            <w:r>
              <w:rPr>
                <w:rFonts w:ascii="Arial" w:eastAsia="Arial"/>
                <w:b/>
                <w:color w:val="auto"/>
                <w:sz w:val="18"/>
                <w:lang w:eastAsia="en-US"/>
              </w:rPr>
              <w:t>1001297709005632275</w:t>
            </w:r>
          </w:p>
        </w:tc>
      </w:tr>
      <w:tr>
        <w:tblPrEx>
          <w:tblCellMar>
            <w:top w:w="0" w:type="dxa"/>
            <w:left w:w="0" w:type="dxa"/>
            <w:bottom w:w="0" w:type="dxa"/>
            <w:right w:w="0" w:type="dxa"/>
          </w:tblCellMar>
        </w:tblPrEx>
        <w:trPr>
          <w:trHeight w:val="421" w:hRule="atLeast"/>
          <w:jc w:val="center"/>
        </w:trPr>
        <w:tc>
          <w:tcPr>
            <w:tcW w:w="904" w:type="dxa"/>
          </w:tcPr>
          <w:p>
            <w:pPr>
              <w:pStyle w:val="19"/>
              <w:ind w:left="50"/>
              <w:rPr>
                <w:b/>
                <w:color w:val="auto"/>
                <w:sz w:val="18"/>
                <w:lang w:eastAsia="en-US"/>
              </w:rPr>
            </w:pPr>
            <w:r>
              <w:rPr>
                <w:b/>
                <w:color w:val="auto"/>
                <w:sz w:val="18"/>
                <w:lang w:eastAsia="en-US"/>
              </w:rPr>
              <w:t>税 号</w:t>
            </w:r>
          </w:p>
        </w:tc>
        <w:tc>
          <w:tcPr>
            <w:tcW w:w="4027" w:type="dxa"/>
          </w:tcPr>
          <w:p>
            <w:pPr>
              <w:pStyle w:val="19"/>
              <w:rPr>
                <w:rFonts w:ascii="Arial" w:eastAsia="Arial"/>
                <w:b/>
                <w:color w:val="auto"/>
                <w:sz w:val="18"/>
                <w:lang w:eastAsia="en-US"/>
              </w:rPr>
            </w:pPr>
            <w:r>
              <w:rPr>
                <w:b/>
                <w:color w:val="auto"/>
                <w:sz w:val="18"/>
                <w:lang w:eastAsia="en-US"/>
              </w:rPr>
              <w:t>：</w:t>
            </w:r>
            <w:r>
              <w:rPr>
                <w:rFonts w:ascii="Arial" w:eastAsia="Arial"/>
                <w:b/>
                <w:color w:val="auto"/>
                <w:sz w:val="18"/>
                <w:lang w:eastAsia="en-US"/>
              </w:rPr>
              <w:t xml:space="preserve"> </w:t>
            </w:r>
          </w:p>
        </w:tc>
        <w:tc>
          <w:tcPr>
            <w:tcW w:w="1204" w:type="dxa"/>
          </w:tcPr>
          <w:p>
            <w:pPr>
              <w:pStyle w:val="19"/>
              <w:ind w:left="333"/>
              <w:rPr>
                <w:b/>
                <w:color w:val="auto"/>
                <w:sz w:val="18"/>
                <w:lang w:eastAsia="en-US"/>
              </w:rPr>
            </w:pPr>
            <w:r>
              <w:rPr>
                <w:b/>
                <w:color w:val="auto"/>
                <w:sz w:val="18"/>
                <w:lang w:eastAsia="en-US"/>
              </w:rPr>
              <w:t>税 号</w:t>
            </w:r>
          </w:p>
        </w:tc>
        <w:tc>
          <w:tcPr>
            <w:tcW w:w="3123" w:type="dxa"/>
          </w:tcPr>
          <w:p>
            <w:pPr>
              <w:pStyle w:val="19"/>
              <w:ind w:left="43"/>
              <w:rPr>
                <w:rFonts w:ascii="Arial" w:eastAsia="Arial"/>
                <w:b/>
                <w:color w:val="auto"/>
                <w:sz w:val="18"/>
                <w:lang w:eastAsia="en-US"/>
              </w:rPr>
            </w:pPr>
            <w:r>
              <w:rPr>
                <w:b/>
                <w:color w:val="auto"/>
                <w:sz w:val="18"/>
                <w:lang w:eastAsia="en-US"/>
              </w:rPr>
              <w:t>：</w:t>
            </w:r>
            <w:r>
              <w:rPr>
                <w:rFonts w:ascii="Arial" w:eastAsia="Arial"/>
                <w:b/>
                <w:color w:val="auto"/>
                <w:sz w:val="18"/>
                <w:lang w:eastAsia="en-US"/>
              </w:rPr>
              <w:t>913101166643369819</w:t>
            </w:r>
          </w:p>
        </w:tc>
      </w:tr>
      <w:tr>
        <w:tblPrEx>
          <w:tblCellMar>
            <w:top w:w="0" w:type="dxa"/>
            <w:left w:w="0" w:type="dxa"/>
            <w:bottom w:w="0" w:type="dxa"/>
            <w:right w:w="0" w:type="dxa"/>
          </w:tblCellMar>
        </w:tblPrEx>
        <w:trPr>
          <w:trHeight w:val="275" w:hRule="atLeast"/>
          <w:jc w:val="center"/>
        </w:trPr>
        <w:tc>
          <w:tcPr>
            <w:tcW w:w="904" w:type="dxa"/>
          </w:tcPr>
          <w:p>
            <w:pPr>
              <w:pStyle w:val="19"/>
              <w:spacing w:line="221" w:lineRule="exact"/>
              <w:ind w:left="50"/>
              <w:rPr>
                <w:b/>
                <w:color w:val="auto"/>
                <w:sz w:val="18"/>
                <w:lang w:eastAsia="en-US"/>
              </w:rPr>
            </w:pPr>
            <w:r>
              <w:rPr>
                <w:b/>
                <w:color w:val="auto"/>
                <w:sz w:val="18"/>
                <w:lang w:eastAsia="en-US"/>
              </w:rPr>
              <w:t>日 期</w:t>
            </w:r>
          </w:p>
        </w:tc>
        <w:tc>
          <w:tcPr>
            <w:tcW w:w="4027" w:type="dxa"/>
          </w:tcPr>
          <w:p>
            <w:pPr>
              <w:pStyle w:val="19"/>
              <w:spacing w:line="221" w:lineRule="exact"/>
              <w:rPr>
                <w:rFonts w:ascii="Arial" w:eastAsia="Arial"/>
                <w:b/>
                <w:color w:val="auto"/>
                <w:sz w:val="18"/>
                <w:lang w:eastAsia="en-US"/>
              </w:rPr>
            </w:pPr>
            <w:r>
              <w:rPr>
                <w:b/>
                <w:color w:val="auto"/>
                <w:sz w:val="18"/>
                <w:lang w:eastAsia="en-US"/>
              </w:rPr>
              <w:t>：</w:t>
            </w:r>
            <w:r>
              <w:rPr>
                <w:rFonts w:ascii="Arial" w:eastAsia="Arial"/>
                <w:b/>
                <w:color w:val="auto"/>
                <w:sz w:val="18"/>
                <w:lang w:eastAsia="en-US"/>
              </w:rPr>
              <w:t xml:space="preserve"> </w:t>
            </w:r>
          </w:p>
        </w:tc>
        <w:tc>
          <w:tcPr>
            <w:tcW w:w="1204" w:type="dxa"/>
          </w:tcPr>
          <w:p>
            <w:pPr>
              <w:pStyle w:val="19"/>
              <w:spacing w:line="221" w:lineRule="exact"/>
              <w:ind w:left="333"/>
              <w:rPr>
                <w:b/>
                <w:color w:val="auto"/>
                <w:sz w:val="18"/>
                <w:lang w:eastAsia="en-US"/>
              </w:rPr>
            </w:pPr>
            <w:r>
              <w:rPr>
                <w:b/>
                <w:color w:val="auto"/>
                <w:sz w:val="18"/>
                <w:lang w:eastAsia="en-US"/>
              </w:rPr>
              <w:t>日 期</w:t>
            </w:r>
          </w:p>
        </w:tc>
        <w:tc>
          <w:tcPr>
            <w:tcW w:w="3123" w:type="dxa"/>
          </w:tcPr>
          <w:p>
            <w:pPr>
              <w:pStyle w:val="19"/>
              <w:spacing w:line="221" w:lineRule="exact"/>
              <w:ind w:left="43"/>
              <w:rPr>
                <w:rFonts w:ascii="Arial" w:eastAsia="Arial"/>
                <w:b/>
                <w:color w:val="auto"/>
                <w:sz w:val="18"/>
                <w:lang w:eastAsia="en-US"/>
              </w:rPr>
            </w:pPr>
            <w:r>
              <w:rPr>
                <w:b/>
                <w:color w:val="auto"/>
                <w:sz w:val="18"/>
                <w:lang w:eastAsia="en-US"/>
              </w:rPr>
              <w:t>：</w:t>
            </w:r>
          </w:p>
        </w:tc>
      </w:tr>
    </w:tbl>
    <w:p>
      <w:pPr>
        <w:widowControl/>
        <w:spacing w:line="360" w:lineRule="auto"/>
        <w:jc w:val="left"/>
        <w:rPr>
          <w:rFonts w:ascii="宋体" w:hAnsi="宋体" w:eastAsia="宋体" w:cs="楷体"/>
          <w:b/>
          <w:bCs/>
          <w:color w:val="auto"/>
          <w:kern w:val="0"/>
          <w:sz w:val="24"/>
          <w:szCs w:val="24"/>
        </w:rPr>
      </w:pPr>
    </w:p>
    <w:sectPr>
      <w:pgSz w:w="11879" w:h="16783" w:orient="landscape"/>
      <w:pgMar w:top="839" w:right="1021" w:bottom="709" w:left="1260" w:header="851" w:footer="992" w:gutter="0"/>
      <w:cols w:space="425" w:num="1"/>
      <w:titlePg/>
      <w:docGrid w:type="lines"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bookFoldPrinting w:val="1"/>
  <w:bookFoldPrintingSheets w:val="0"/>
  <w:drawingGridHorizontalSpacing w:val="105"/>
  <w:drawingGridVerticalSpacing w:val="38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D72"/>
    <w:rsid w:val="00012103"/>
    <w:rsid w:val="000201EC"/>
    <w:rsid w:val="00023949"/>
    <w:rsid w:val="00024076"/>
    <w:rsid w:val="00025571"/>
    <w:rsid w:val="000339B3"/>
    <w:rsid w:val="00035390"/>
    <w:rsid w:val="00037364"/>
    <w:rsid w:val="0005273A"/>
    <w:rsid w:val="0006210C"/>
    <w:rsid w:val="0007110D"/>
    <w:rsid w:val="00073991"/>
    <w:rsid w:val="0008325D"/>
    <w:rsid w:val="00083B16"/>
    <w:rsid w:val="000A0D6C"/>
    <w:rsid w:val="000B1381"/>
    <w:rsid w:val="000B738B"/>
    <w:rsid w:val="000C19C5"/>
    <w:rsid w:val="000D5C00"/>
    <w:rsid w:val="000E3722"/>
    <w:rsid w:val="000E3D68"/>
    <w:rsid w:val="000E40C2"/>
    <w:rsid w:val="000E6826"/>
    <w:rsid w:val="000E7D06"/>
    <w:rsid w:val="00115B21"/>
    <w:rsid w:val="001330C3"/>
    <w:rsid w:val="00136BFC"/>
    <w:rsid w:val="00140655"/>
    <w:rsid w:val="00151681"/>
    <w:rsid w:val="00177ED0"/>
    <w:rsid w:val="001A5323"/>
    <w:rsid w:val="001A6331"/>
    <w:rsid w:val="001B6730"/>
    <w:rsid w:val="00211DF4"/>
    <w:rsid w:val="0022784B"/>
    <w:rsid w:val="002349D3"/>
    <w:rsid w:val="00243B94"/>
    <w:rsid w:val="00244785"/>
    <w:rsid w:val="0025157A"/>
    <w:rsid w:val="00285416"/>
    <w:rsid w:val="00286AD6"/>
    <w:rsid w:val="00291332"/>
    <w:rsid w:val="002B28D0"/>
    <w:rsid w:val="002B35BC"/>
    <w:rsid w:val="002B4C7F"/>
    <w:rsid w:val="002F0B2E"/>
    <w:rsid w:val="002F47E7"/>
    <w:rsid w:val="0030208E"/>
    <w:rsid w:val="00314D72"/>
    <w:rsid w:val="00351452"/>
    <w:rsid w:val="00364138"/>
    <w:rsid w:val="003655E0"/>
    <w:rsid w:val="00366102"/>
    <w:rsid w:val="00371DC4"/>
    <w:rsid w:val="00380FD2"/>
    <w:rsid w:val="003A025C"/>
    <w:rsid w:val="003B55BD"/>
    <w:rsid w:val="003B591C"/>
    <w:rsid w:val="003C0766"/>
    <w:rsid w:val="003D0D47"/>
    <w:rsid w:val="003D2DE9"/>
    <w:rsid w:val="003E2263"/>
    <w:rsid w:val="003E63E5"/>
    <w:rsid w:val="003F23D1"/>
    <w:rsid w:val="00401495"/>
    <w:rsid w:val="004033D6"/>
    <w:rsid w:val="004226EA"/>
    <w:rsid w:val="00426691"/>
    <w:rsid w:val="0043095E"/>
    <w:rsid w:val="00436C58"/>
    <w:rsid w:val="00441403"/>
    <w:rsid w:val="0044527A"/>
    <w:rsid w:val="004576D2"/>
    <w:rsid w:val="00467DB1"/>
    <w:rsid w:val="00471D64"/>
    <w:rsid w:val="004742FF"/>
    <w:rsid w:val="00484E10"/>
    <w:rsid w:val="004A3F06"/>
    <w:rsid w:val="004B399E"/>
    <w:rsid w:val="004B60E6"/>
    <w:rsid w:val="004B69BF"/>
    <w:rsid w:val="004C4172"/>
    <w:rsid w:val="004E5E82"/>
    <w:rsid w:val="004F7C78"/>
    <w:rsid w:val="0051120F"/>
    <w:rsid w:val="0051215D"/>
    <w:rsid w:val="005153C3"/>
    <w:rsid w:val="00517280"/>
    <w:rsid w:val="00531C37"/>
    <w:rsid w:val="00543C23"/>
    <w:rsid w:val="005677CD"/>
    <w:rsid w:val="00571B95"/>
    <w:rsid w:val="005832BB"/>
    <w:rsid w:val="005837E1"/>
    <w:rsid w:val="005B27B8"/>
    <w:rsid w:val="005C08FD"/>
    <w:rsid w:val="005C5525"/>
    <w:rsid w:val="005D24EC"/>
    <w:rsid w:val="005D54A9"/>
    <w:rsid w:val="005E1C53"/>
    <w:rsid w:val="005E1EC3"/>
    <w:rsid w:val="005E3DAC"/>
    <w:rsid w:val="005E75DC"/>
    <w:rsid w:val="005F4DED"/>
    <w:rsid w:val="00612CE6"/>
    <w:rsid w:val="006161C7"/>
    <w:rsid w:val="00617057"/>
    <w:rsid w:val="006272A6"/>
    <w:rsid w:val="00627FC9"/>
    <w:rsid w:val="0063443C"/>
    <w:rsid w:val="006512A4"/>
    <w:rsid w:val="0065298D"/>
    <w:rsid w:val="00663B40"/>
    <w:rsid w:val="006726A3"/>
    <w:rsid w:val="00674E51"/>
    <w:rsid w:val="00676FA5"/>
    <w:rsid w:val="00690C0F"/>
    <w:rsid w:val="006B5E04"/>
    <w:rsid w:val="006C0444"/>
    <w:rsid w:val="006D294C"/>
    <w:rsid w:val="006E37B1"/>
    <w:rsid w:val="006E5DB6"/>
    <w:rsid w:val="00702432"/>
    <w:rsid w:val="00714E41"/>
    <w:rsid w:val="00716C6C"/>
    <w:rsid w:val="007341E3"/>
    <w:rsid w:val="00741CCF"/>
    <w:rsid w:val="00741D15"/>
    <w:rsid w:val="0074497D"/>
    <w:rsid w:val="00753439"/>
    <w:rsid w:val="00784D24"/>
    <w:rsid w:val="00793649"/>
    <w:rsid w:val="00793FBE"/>
    <w:rsid w:val="00795203"/>
    <w:rsid w:val="007C036E"/>
    <w:rsid w:val="007C5180"/>
    <w:rsid w:val="007D522A"/>
    <w:rsid w:val="007E24B2"/>
    <w:rsid w:val="00801A11"/>
    <w:rsid w:val="00817EAB"/>
    <w:rsid w:val="00824708"/>
    <w:rsid w:val="00837C40"/>
    <w:rsid w:val="008464A9"/>
    <w:rsid w:val="0085260E"/>
    <w:rsid w:val="00874613"/>
    <w:rsid w:val="00890473"/>
    <w:rsid w:val="00896C98"/>
    <w:rsid w:val="008C5165"/>
    <w:rsid w:val="008D0C6F"/>
    <w:rsid w:val="00914184"/>
    <w:rsid w:val="009168CE"/>
    <w:rsid w:val="009638DC"/>
    <w:rsid w:val="009710D2"/>
    <w:rsid w:val="009769D0"/>
    <w:rsid w:val="00980993"/>
    <w:rsid w:val="00980EA3"/>
    <w:rsid w:val="009A3B7C"/>
    <w:rsid w:val="009A6752"/>
    <w:rsid w:val="009A78C1"/>
    <w:rsid w:val="009B491A"/>
    <w:rsid w:val="009B64C6"/>
    <w:rsid w:val="009D03BA"/>
    <w:rsid w:val="009D6107"/>
    <w:rsid w:val="009F22E7"/>
    <w:rsid w:val="00A01504"/>
    <w:rsid w:val="00A11E17"/>
    <w:rsid w:val="00A20437"/>
    <w:rsid w:val="00A21FA4"/>
    <w:rsid w:val="00A22755"/>
    <w:rsid w:val="00A37350"/>
    <w:rsid w:val="00A40105"/>
    <w:rsid w:val="00A50090"/>
    <w:rsid w:val="00AA1C74"/>
    <w:rsid w:val="00AA5424"/>
    <w:rsid w:val="00AB586E"/>
    <w:rsid w:val="00AB68E3"/>
    <w:rsid w:val="00AD5A43"/>
    <w:rsid w:val="00AD7883"/>
    <w:rsid w:val="00AF5669"/>
    <w:rsid w:val="00AF5802"/>
    <w:rsid w:val="00AF72CD"/>
    <w:rsid w:val="00B04886"/>
    <w:rsid w:val="00B245E7"/>
    <w:rsid w:val="00B27447"/>
    <w:rsid w:val="00B32DB0"/>
    <w:rsid w:val="00B3512A"/>
    <w:rsid w:val="00B37990"/>
    <w:rsid w:val="00B441E9"/>
    <w:rsid w:val="00B65DE7"/>
    <w:rsid w:val="00BA7C0E"/>
    <w:rsid w:val="00BC2F36"/>
    <w:rsid w:val="00BC4F75"/>
    <w:rsid w:val="00BE01EC"/>
    <w:rsid w:val="00BE2BC1"/>
    <w:rsid w:val="00BE7504"/>
    <w:rsid w:val="00BF223F"/>
    <w:rsid w:val="00C02105"/>
    <w:rsid w:val="00C04DF4"/>
    <w:rsid w:val="00C121C9"/>
    <w:rsid w:val="00C143E4"/>
    <w:rsid w:val="00C203E4"/>
    <w:rsid w:val="00C26EB5"/>
    <w:rsid w:val="00C406B8"/>
    <w:rsid w:val="00C50336"/>
    <w:rsid w:val="00C71643"/>
    <w:rsid w:val="00C74125"/>
    <w:rsid w:val="00C82A03"/>
    <w:rsid w:val="00C83801"/>
    <w:rsid w:val="00C95771"/>
    <w:rsid w:val="00C97227"/>
    <w:rsid w:val="00CA29E5"/>
    <w:rsid w:val="00CA7E3A"/>
    <w:rsid w:val="00CB19EB"/>
    <w:rsid w:val="00CC53FE"/>
    <w:rsid w:val="00CC5E48"/>
    <w:rsid w:val="00CD3FBE"/>
    <w:rsid w:val="00D06C78"/>
    <w:rsid w:val="00D452CF"/>
    <w:rsid w:val="00D663F6"/>
    <w:rsid w:val="00D711BD"/>
    <w:rsid w:val="00D86C91"/>
    <w:rsid w:val="00D90011"/>
    <w:rsid w:val="00D93579"/>
    <w:rsid w:val="00DA2EDF"/>
    <w:rsid w:val="00DF4735"/>
    <w:rsid w:val="00E1099B"/>
    <w:rsid w:val="00E214AA"/>
    <w:rsid w:val="00E42C22"/>
    <w:rsid w:val="00E6205B"/>
    <w:rsid w:val="00E679BE"/>
    <w:rsid w:val="00E74A89"/>
    <w:rsid w:val="00E80A90"/>
    <w:rsid w:val="00E841FF"/>
    <w:rsid w:val="00E864FE"/>
    <w:rsid w:val="00E86F13"/>
    <w:rsid w:val="00E93CE7"/>
    <w:rsid w:val="00ED06EA"/>
    <w:rsid w:val="00ED59F5"/>
    <w:rsid w:val="00EE5575"/>
    <w:rsid w:val="00EE788D"/>
    <w:rsid w:val="00EF3A99"/>
    <w:rsid w:val="00EF44EA"/>
    <w:rsid w:val="00F2095B"/>
    <w:rsid w:val="00F232A7"/>
    <w:rsid w:val="00F27290"/>
    <w:rsid w:val="00F279E0"/>
    <w:rsid w:val="00F3380C"/>
    <w:rsid w:val="00F3471A"/>
    <w:rsid w:val="00F35215"/>
    <w:rsid w:val="00F6323F"/>
    <w:rsid w:val="00F659F6"/>
    <w:rsid w:val="00F82A0E"/>
    <w:rsid w:val="00F90002"/>
    <w:rsid w:val="00FA17AC"/>
    <w:rsid w:val="00FA615F"/>
    <w:rsid w:val="00FB4A37"/>
    <w:rsid w:val="00FC7D57"/>
    <w:rsid w:val="00FD3887"/>
    <w:rsid w:val="04FB6883"/>
    <w:rsid w:val="0B7A0E84"/>
    <w:rsid w:val="0BD653AF"/>
    <w:rsid w:val="197EFE53"/>
    <w:rsid w:val="1B7F818C"/>
    <w:rsid w:val="1FFFB82B"/>
    <w:rsid w:val="27FFC776"/>
    <w:rsid w:val="2DEF4E20"/>
    <w:rsid w:val="2FD80B2E"/>
    <w:rsid w:val="2FF7CCE6"/>
    <w:rsid w:val="33A36C8B"/>
    <w:rsid w:val="35EA2E81"/>
    <w:rsid w:val="36F8F9C2"/>
    <w:rsid w:val="37D77B03"/>
    <w:rsid w:val="37EFF6F4"/>
    <w:rsid w:val="387BE2D1"/>
    <w:rsid w:val="3982F08A"/>
    <w:rsid w:val="3ADF0C2C"/>
    <w:rsid w:val="3BFF6B57"/>
    <w:rsid w:val="3D5F8452"/>
    <w:rsid w:val="3D7DEAE4"/>
    <w:rsid w:val="3EBFC49D"/>
    <w:rsid w:val="3F1FB4DD"/>
    <w:rsid w:val="3FAB9FF7"/>
    <w:rsid w:val="3FEC0AE4"/>
    <w:rsid w:val="3FEF479B"/>
    <w:rsid w:val="3FEFB4D9"/>
    <w:rsid w:val="3FF78E01"/>
    <w:rsid w:val="3FFEC5FC"/>
    <w:rsid w:val="4457FAA3"/>
    <w:rsid w:val="46A88CF0"/>
    <w:rsid w:val="47E33DA5"/>
    <w:rsid w:val="47FF1789"/>
    <w:rsid w:val="49177D63"/>
    <w:rsid w:val="4BFB689C"/>
    <w:rsid w:val="4D3FD2AB"/>
    <w:rsid w:val="4FBDE3E3"/>
    <w:rsid w:val="4FCADF63"/>
    <w:rsid w:val="4FFFC670"/>
    <w:rsid w:val="513F3A28"/>
    <w:rsid w:val="59EC64D9"/>
    <w:rsid w:val="5D7F0E43"/>
    <w:rsid w:val="5ECB4510"/>
    <w:rsid w:val="5F3F3229"/>
    <w:rsid w:val="5F75FF35"/>
    <w:rsid w:val="5F7F6FD2"/>
    <w:rsid w:val="5FBD4B79"/>
    <w:rsid w:val="5FBFC128"/>
    <w:rsid w:val="5FDEDD2A"/>
    <w:rsid w:val="5FFD7F8E"/>
    <w:rsid w:val="66EB95EE"/>
    <w:rsid w:val="6BA01755"/>
    <w:rsid w:val="6D9FC773"/>
    <w:rsid w:val="6DEF3796"/>
    <w:rsid w:val="6EEF8525"/>
    <w:rsid w:val="6F6F9B97"/>
    <w:rsid w:val="6FB62B51"/>
    <w:rsid w:val="6FDF57C5"/>
    <w:rsid w:val="73F37CFF"/>
    <w:rsid w:val="73FEA520"/>
    <w:rsid w:val="75FFD3CC"/>
    <w:rsid w:val="7B0BC09C"/>
    <w:rsid w:val="7D532D6B"/>
    <w:rsid w:val="7D6FE519"/>
    <w:rsid w:val="7DBE3052"/>
    <w:rsid w:val="7DD90B5E"/>
    <w:rsid w:val="7DF888DC"/>
    <w:rsid w:val="7DFF6E0A"/>
    <w:rsid w:val="7E5FC39F"/>
    <w:rsid w:val="7E9F6907"/>
    <w:rsid w:val="7EBB1161"/>
    <w:rsid w:val="7EF2B228"/>
    <w:rsid w:val="7EFB7A1A"/>
    <w:rsid w:val="7F3B4214"/>
    <w:rsid w:val="7F7B6DA9"/>
    <w:rsid w:val="7F9B6F8F"/>
    <w:rsid w:val="7FE3356F"/>
    <w:rsid w:val="7FF732ED"/>
    <w:rsid w:val="7FFDDCEC"/>
    <w:rsid w:val="87636FD3"/>
    <w:rsid w:val="8FD9A20B"/>
    <w:rsid w:val="90EB0228"/>
    <w:rsid w:val="97F2043A"/>
    <w:rsid w:val="9B854BFC"/>
    <w:rsid w:val="9EEF5BB8"/>
    <w:rsid w:val="9EFEB9AF"/>
    <w:rsid w:val="9FAFB370"/>
    <w:rsid w:val="ADB7566B"/>
    <w:rsid w:val="ADFF4FEE"/>
    <w:rsid w:val="AF6DC1EC"/>
    <w:rsid w:val="B3FFE862"/>
    <w:rsid w:val="B4F995CC"/>
    <w:rsid w:val="B6376440"/>
    <w:rsid w:val="B67F336A"/>
    <w:rsid w:val="B6FF767F"/>
    <w:rsid w:val="B76F2577"/>
    <w:rsid w:val="B7FD42E0"/>
    <w:rsid w:val="B7FDA0D3"/>
    <w:rsid w:val="B9EFE4C2"/>
    <w:rsid w:val="BAFEB8D9"/>
    <w:rsid w:val="BC3F92D7"/>
    <w:rsid w:val="BDBFBBE1"/>
    <w:rsid w:val="BDEF8B69"/>
    <w:rsid w:val="BEAB8F86"/>
    <w:rsid w:val="BF5D8402"/>
    <w:rsid w:val="BFB5E7ED"/>
    <w:rsid w:val="BFD6B3C2"/>
    <w:rsid w:val="BFFA81A2"/>
    <w:rsid w:val="BFFDBE6C"/>
    <w:rsid w:val="BFFF8549"/>
    <w:rsid w:val="C7FE61F6"/>
    <w:rsid w:val="CB9F28BA"/>
    <w:rsid w:val="CED79B53"/>
    <w:rsid w:val="CFD50FD5"/>
    <w:rsid w:val="D77B1638"/>
    <w:rsid w:val="D7FF120F"/>
    <w:rsid w:val="D9CB60FE"/>
    <w:rsid w:val="DD5F284D"/>
    <w:rsid w:val="DD6F38DB"/>
    <w:rsid w:val="DE1FAE01"/>
    <w:rsid w:val="DE2D4267"/>
    <w:rsid w:val="DF7F88BF"/>
    <w:rsid w:val="DFAF9CA2"/>
    <w:rsid w:val="E7FFEAB6"/>
    <w:rsid w:val="E8FD7FAB"/>
    <w:rsid w:val="ECFF498D"/>
    <w:rsid w:val="EDFD8962"/>
    <w:rsid w:val="EEBFCD75"/>
    <w:rsid w:val="EF7360C6"/>
    <w:rsid w:val="EFE6C0EF"/>
    <w:rsid w:val="EFFF2CEE"/>
    <w:rsid w:val="F2F7B64D"/>
    <w:rsid w:val="F2FFB3AC"/>
    <w:rsid w:val="F31DB0C7"/>
    <w:rsid w:val="F5F90B6B"/>
    <w:rsid w:val="F7A53076"/>
    <w:rsid w:val="F7DD1597"/>
    <w:rsid w:val="F7DF9613"/>
    <w:rsid w:val="F7FF902D"/>
    <w:rsid w:val="F7FFEEEE"/>
    <w:rsid w:val="F8EFA8EB"/>
    <w:rsid w:val="F97F6845"/>
    <w:rsid w:val="FA76E384"/>
    <w:rsid w:val="FAF7D998"/>
    <w:rsid w:val="FB3E3C9A"/>
    <w:rsid w:val="FCBEABD7"/>
    <w:rsid w:val="FD7ACE53"/>
    <w:rsid w:val="FDFFEC40"/>
    <w:rsid w:val="FE6C7E44"/>
    <w:rsid w:val="FE97FBCD"/>
    <w:rsid w:val="FEAFAAE9"/>
    <w:rsid w:val="FEF495BE"/>
    <w:rsid w:val="FEF62D6B"/>
    <w:rsid w:val="FEFFED93"/>
    <w:rsid w:val="FF5913EC"/>
    <w:rsid w:val="FF7974CE"/>
    <w:rsid w:val="FF7F9974"/>
    <w:rsid w:val="FFA7CE7E"/>
    <w:rsid w:val="FFBFC52F"/>
    <w:rsid w:val="FFCF52B7"/>
    <w:rsid w:val="FFD76424"/>
    <w:rsid w:val="FFDE68BF"/>
    <w:rsid w:val="FFE7E045"/>
    <w:rsid w:val="FFEDF8B6"/>
    <w:rsid w:val="FFFA8D73"/>
    <w:rsid w:val="FFFE4434"/>
    <w:rsid w:val="FFFF1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autoSpaceDE w:val="0"/>
      <w:autoSpaceDN w:val="0"/>
      <w:spacing w:before="105"/>
      <w:ind w:left="158"/>
      <w:jc w:val="left"/>
      <w:outlineLvl w:val="0"/>
    </w:pPr>
    <w:rPr>
      <w:rFonts w:ascii="宋体" w:hAnsi="宋体" w:eastAsia="宋体" w:cs="宋体"/>
      <w:b/>
      <w:bCs/>
      <w:kern w:val="0"/>
      <w:sz w:val="19"/>
      <w:szCs w:val="19"/>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annotation text"/>
    <w:basedOn w:val="1"/>
    <w:link w:val="21"/>
    <w:unhideWhenUsed/>
    <w:qFormat/>
    <w:uiPriority w:val="99"/>
    <w:pPr>
      <w:jc w:val="left"/>
    </w:pPr>
  </w:style>
  <w:style w:type="paragraph" w:styleId="4">
    <w:name w:val="Body Text"/>
    <w:basedOn w:val="1"/>
    <w:link w:val="20"/>
    <w:qFormat/>
    <w:uiPriority w:val="1"/>
    <w:pPr>
      <w:autoSpaceDE w:val="0"/>
      <w:autoSpaceDN w:val="0"/>
      <w:spacing w:before="41"/>
      <w:ind w:left="479"/>
      <w:jc w:val="left"/>
    </w:pPr>
    <w:rPr>
      <w:rFonts w:ascii="宋体" w:hAnsi="宋体" w:eastAsia="宋体" w:cs="宋体"/>
      <w:kern w:val="0"/>
      <w:sz w:val="19"/>
      <w:szCs w:val="19"/>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22"/>
    <w:unhideWhenUsed/>
    <w:qFormat/>
    <w:uiPriority w:val="99"/>
    <w:rPr>
      <w:b/>
      <w:bCs/>
    </w:rPr>
  </w:style>
  <w:style w:type="character" w:styleId="11">
    <w:name w:val="annotation reference"/>
    <w:basedOn w:val="10"/>
    <w:unhideWhenUsed/>
    <w:qFormat/>
    <w:uiPriority w:val="99"/>
    <w:rPr>
      <w:sz w:val="21"/>
      <w:szCs w:val="21"/>
    </w:rPr>
  </w:style>
  <w:style w:type="paragraph" w:customStyle="1" w:styleId="12">
    <w:name w:val="标题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indent_left"/>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second_titl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se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6">
    <w:name w:val="页眉 字符"/>
    <w:basedOn w:val="10"/>
    <w:link w:val="6"/>
    <w:qFormat/>
    <w:uiPriority w:val="99"/>
    <w:rPr>
      <w:sz w:val="18"/>
      <w:szCs w:val="18"/>
    </w:rPr>
  </w:style>
  <w:style w:type="character" w:customStyle="1" w:styleId="17">
    <w:name w:val="页脚 字符"/>
    <w:basedOn w:val="10"/>
    <w:link w:val="5"/>
    <w:qFormat/>
    <w:uiPriority w:val="99"/>
    <w:rPr>
      <w:sz w:val="18"/>
      <w:szCs w:val="18"/>
    </w:rPr>
  </w:style>
  <w:style w:type="table" w:customStyle="1" w:styleId="18">
    <w:name w:val="Table Normal"/>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19">
    <w:name w:val="Table Paragraph"/>
    <w:basedOn w:val="1"/>
    <w:qFormat/>
    <w:uiPriority w:val="1"/>
    <w:pPr>
      <w:autoSpaceDE w:val="0"/>
      <w:autoSpaceDN w:val="0"/>
      <w:spacing w:before="24"/>
      <w:ind w:left="42"/>
      <w:jc w:val="left"/>
    </w:pPr>
    <w:rPr>
      <w:rFonts w:ascii="宋体" w:hAnsi="宋体" w:eastAsia="宋体" w:cs="宋体"/>
      <w:kern w:val="0"/>
      <w:sz w:val="22"/>
    </w:rPr>
  </w:style>
  <w:style w:type="character" w:customStyle="1" w:styleId="20">
    <w:name w:val="正文文本 字符"/>
    <w:basedOn w:val="10"/>
    <w:link w:val="4"/>
    <w:qFormat/>
    <w:uiPriority w:val="1"/>
    <w:rPr>
      <w:rFonts w:ascii="宋体" w:hAnsi="宋体" w:eastAsia="宋体" w:cs="宋体"/>
      <w:kern w:val="0"/>
      <w:sz w:val="19"/>
      <w:szCs w:val="19"/>
    </w:rPr>
  </w:style>
  <w:style w:type="character" w:customStyle="1" w:styleId="21">
    <w:name w:val="批注文字 字符"/>
    <w:basedOn w:val="10"/>
    <w:link w:val="3"/>
    <w:semiHidden/>
    <w:qFormat/>
    <w:uiPriority w:val="99"/>
  </w:style>
  <w:style w:type="character" w:customStyle="1" w:styleId="22">
    <w:name w:val="批注主题 字符"/>
    <w:basedOn w:val="21"/>
    <w:link w:val="8"/>
    <w:semiHidden/>
    <w:qFormat/>
    <w:uiPriority w:val="99"/>
    <w:rPr>
      <w:b/>
      <w:bCs/>
    </w:rPr>
  </w:style>
  <w:style w:type="character" w:customStyle="1" w:styleId="23">
    <w:name w:val="标题 1 字符"/>
    <w:basedOn w:val="10"/>
    <w:link w:val="2"/>
    <w:qFormat/>
    <w:uiPriority w:val="9"/>
    <w:rPr>
      <w:rFonts w:ascii="宋体" w:hAnsi="宋体" w:eastAsia="宋体" w:cs="宋体"/>
      <w:b/>
      <w:bCs/>
      <w:kern w:val="0"/>
      <w:sz w:val="19"/>
      <w:szCs w:val="19"/>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271</Words>
  <Characters>1548</Characters>
  <Lines>12</Lines>
  <Paragraphs>3</Paragraphs>
  <TotalTime>6</TotalTime>
  <ScaleCrop>false</ScaleCrop>
  <LinksUpToDate>false</LinksUpToDate>
  <CharactersWithSpaces>1816</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2021-03-19T09:01:00Z</dcterms:created>
  <dc:creator>岳 富强</dc:creator>
  <cp:lastModifiedBy>何雯雯  湿腾</cp:lastModifiedBy>
  <dcterms:modified xsi:type="dcterms:W3CDTF">2021-08-17T08:32:48Z</dcterms:modified>
  <cp:revision>414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085BDFE5F0BE4D73A8FF7ED702517025</vt:lpwstr>
  </property>
</Properties>
</file>