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b/>
          <w:szCs w:val="21"/>
        </w:rPr>
      </w:pPr>
      <w:r>
        <w:rPr>
          <w:b/>
          <w:szCs w:val="21"/>
        </w:rPr>
        <w:t>一、研究目的</w:t>
      </w:r>
    </w:p>
    <w:p>
      <w:pPr>
        <w:spacing w:line="360" w:lineRule="auto"/>
        <w:ind w:firstLine="435"/>
        <w:rPr>
          <w:szCs w:val="21"/>
        </w:rPr>
      </w:pPr>
      <w:r>
        <w:rPr>
          <w:rFonts w:hint="eastAsia"/>
          <w:szCs w:val="21"/>
        </w:rPr>
        <w:t>本文重点分析：</w:t>
      </w:r>
    </w:p>
    <w:p>
      <w:pPr>
        <w:spacing w:line="360" w:lineRule="auto"/>
        <w:ind w:firstLine="435"/>
        <w:rPr>
          <w:rFonts w:ascii="宋体" w:hAnsi="宋体"/>
          <w:szCs w:val="21"/>
        </w:rPr>
      </w:pPr>
      <w:r>
        <w:rPr>
          <w:rFonts w:hint="eastAsia" w:ascii="宋体" w:hAnsi="宋体"/>
          <w:szCs w:val="21"/>
        </w:rPr>
        <w:t>①</w:t>
      </w:r>
      <w:r>
        <w:rPr>
          <w:rFonts w:hint="eastAsia" w:ascii="宋体" w:hAnsi="宋体"/>
          <w:szCs w:val="21"/>
          <w:lang w:val="en-US" w:eastAsia="zh-CN"/>
        </w:rPr>
        <w:t>从宏观层面看，</w:t>
      </w:r>
      <w:r>
        <w:rPr>
          <w:rFonts w:hint="eastAsia" w:ascii="宋体" w:hAnsi="宋体"/>
          <w:szCs w:val="21"/>
        </w:rPr>
        <w:t>中国-</w:t>
      </w:r>
      <w:r>
        <w:rPr>
          <w:rFonts w:hint="eastAsia" w:ascii="宋体" w:hAnsi="宋体"/>
          <w:szCs w:val="21"/>
          <w:lang w:val="en-US" w:eastAsia="zh-CN"/>
        </w:rPr>
        <w:t>新加坡</w:t>
      </w:r>
      <w:r>
        <w:rPr>
          <w:rFonts w:hint="eastAsia"/>
        </w:rPr>
        <w:t>FTA</w:t>
      </w:r>
      <w:r>
        <w:rPr>
          <w:rFonts w:hint="eastAsia" w:ascii="宋体" w:hAnsi="宋体"/>
          <w:szCs w:val="21"/>
        </w:rPr>
        <w:t>是否存在贸易效应？</w:t>
      </w:r>
      <w:r>
        <w:rPr>
          <w:rFonts w:hint="eastAsia" w:ascii="宋体" w:hAnsi="宋体"/>
          <w:szCs w:val="21"/>
          <w:lang w:val="en-US" w:eastAsia="zh-CN"/>
        </w:rPr>
        <w:t>贸易效应的大小？</w:t>
      </w:r>
    </w:p>
    <w:p>
      <w:pPr>
        <w:spacing w:line="360" w:lineRule="auto"/>
        <w:ind w:firstLine="435"/>
        <w:rPr>
          <w:rFonts w:ascii="宋体" w:hAnsi="宋体"/>
          <w:szCs w:val="21"/>
        </w:rPr>
      </w:pPr>
      <w:r>
        <w:rPr>
          <w:rFonts w:hint="eastAsia" w:ascii="宋体" w:hAnsi="宋体"/>
          <w:szCs w:val="21"/>
        </w:rPr>
        <w:t>②</w:t>
      </w:r>
      <w:r>
        <w:rPr>
          <w:rFonts w:hint="eastAsia" w:ascii="宋体" w:hAnsi="宋体"/>
          <w:szCs w:val="21"/>
          <w:lang w:val="en-US" w:eastAsia="zh-CN"/>
        </w:rPr>
        <w:t>细分行业，从微观角度分析</w:t>
      </w:r>
      <w:r>
        <w:rPr>
          <w:rFonts w:hint="eastAsia" w:ascii="宋体" w:hAnsi="宋体"/>
          <w:szCs w:val="21"/>
        </w:rPr>
        <w:t>哪些产业的贸易受到中国-</w:t>
      </w:r>
      <w:r>
        <w:rPr>
          <w:rFonts w:hint="eastAsia" w:ascii="宋体" w:hAnsi="宋体"/>
          <w:szCs w:val="21"/>
          <w:lang w:val="en-US" w:eastAsia="zh-CN"/>
        </w:rPr>
        <w:t>新加坡</w:t>
      </w:r>
      <w:r>
        <w:rPr>
          <w:rFonts w:hint="eastAsia"/>
        </w:rPr>
        <w:t>FTA</w:t>
      </w:r>
      <w:r>
        <w:rPr>
          <w:rFonts w:hint="eastAsia"/>
          <w:lang w:val="en-US" w:eastAsia="zh-CN"/>
        </w:rPr>
        <w:t>的</w:t>
      </w:r>
      <w:r>
        <w:rPr>
          <w:rFonts w:hint="eastAsia" w:ascii="宋体" w:hAnsi="宋体"/>
          <w:szCs w:val="21"/>
        </w:rPr>
        <w:t>影响？</w:t>
      </w:r>
    </w:p>
    <w:p>
      <w:pPr>
        <w:numPr>
          <w:ilvl w:val="0"/>
          <w:numId w:val="1"/>
        </w:numPr>
        <w:spacing w:line="360" w:lineRule="auto"/>
        <w:rPr>
          <w:rFonts w:hint="eastAsia"/>
          <w:b/>
          <w:szCs w:val="21"/>
          <w:lang w:val="en-US" w:eastAsia="zh-CN"/>
        </w:rPr>
      </w:pPr>
      <w:r>
        <w:rPr>
          <w:rFonts w:hint="eastAsia"/>
          <w:b/>
          <w:szCs w:val="21"/>
          <w:lang w:val="en-US" w:eastAsia="zh-CN"/>
        </w:rPr>
        <w:t>选题背景及意义</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150" w:beforeAutospacing="0" w:after="0" w:afterAutospacing="0" w:line="360" w:lineRule="auto"/>
        <w:ind w:left="0" w:right="0" w:firstLine="420"/>
        <w:textAlignment w:val="auto"/>
        <w:rPr>
          <w:rFonts w:hint="eastAsia" w:ascii="宋体" w:hAnsi="宋体" w:eastAsia="宋体" w:cs="宋体"/>
          <w:b w:val="0"/>
          <w:bCs/>
          <w:color w:val="auto"/>
          <w:kern w:val="2"/>
          <w:sz w:val="21"/>
          <w:szCs w:val="21"/>
          <w:lang w:val="en-US" w:eastAsia="zh-CN" w:bidi="ar-SA"/>
        </w:rPr>
      </w:pPr>
      <w:r>
        <w:rPr>
          <w:rFonts w:hint="eastAsia"/>
          <w:lang w:val="en-US" w:eastAsia="zh-CN"/>
        </w:rPr>
        <w:t xml:space="preserve"> </w:t>
      </w:r>
      <w:r>
        <w:rPr>
          <w:rFonts w:hint="eastAsia" w:ascii="宋体" w:hAnsi="宋体" w:eastAsia="宋体" w:cs="宋体"/>
          <w:b w:val="0"/>
          <w:bCs/>
          <w:color w:val="auto"/>
          <w:kern w:val="2"/>
          <w:sz w:val="21"/>
          <w:szCs w:val="21"/>
          <w:lang w:val="en-US" w:eastAsia="zh-CN" w:bidi="ar-SA"/>
        </w:rPr>
        <w:t>自由贸易协定的相关问题一直是国际贸易研究的重点领域。2018年11月，国务院印发</w:t>
      </w:r>
      <w:r>
        <w:rPr>
          <w:rFonts w:hint="eastAsia" w:ascii="宋体" w:hAnsi="宋体" w:eastAsia="宋体" w:cs="宋体"/>
          <w:b w:val="0"/>
          <w:bCs/>
          <w:color w:val="auto"/>
          <w:kern w:val="2"/>
          <w:sz w:val="21"/>
          <w:szCs w:val="21"/>
          <w:lang w:val="en-US" w:eastAsia="zh-CN" w:bidi="ar-SA"/>
        </w:rPr>
        <w:fldChar w:fldCharType="begin"/>
      </w:r>
      <w:r>
        <w:rPr>
          <w:rFonts w:hint="eastAsia" w:ascii="宋体" w:hAnsi="宋体" w:eastAsia="宋体" w:cs="宋体"/>
          <w:b w:val="0"/>
          <w:bCs/>
          <w:color w:val="auto"/>
          <w:kern w:val="2"/>
          <w:sz w:val="21"/>
          <w:szCs w:val="21"/>
          <w:lang w:val="en-US" w:eastAsia="zh-CN" w:bidi="ar-SA"/>
        </w:rPr>
        <w:instrText xml:space="preserve"> HYPERLINK "http://www.gov.cn/zhengce/content/2018-11/23/content_5342665.htm" \t "http://www.gov.cn/xinwen/2018-11/23/_blank" </w:instrText>
      </w:r>
      <w:r>
        <w:rPr>
          <w:rFonts w:hint="eastAsia" w:ascii="宋体" w:hAnsi="宋体" w:eastAsia="宋体" w:cs="宋体"/>
          <w:b w:val="0"/>
          <w:bCs/>
          <w:color w:val="auto"/>
          <w:kern w:val="2"/>
          <w:sz w:val="21"/>
          <w:szCs w:val="21"/>
          <w:lang w:val="en-US" w:eastAsia="zh-CN" w:bidi="ar-SA"/>
        </w:rPr>
        <w:fldChar w:fldCharType="separate"/>
      </w:r>
      <w:r>
        <w:rPr>
          <w:rFonts w:hint="eastAsia" w:ascii="宋体" w:hAnsi="宋体" w:eastAsia="宋体" w:cs="宋体"/>
          <w:b w:val="0"/>
          <w:bCs/>
          <w:color w:val="auto"/>
          <w:kern w:val="2"/>
          <w:sz w:val="21"/>
          <w:szCs w:val="21"/>
          <w:lang w:val="en-US" w:eastAsia="zh-CN" w:bidi="ar-SA"/>
        </w:rPr>
        <w:t>《关于支持自由贸易试验区深化改革创新若干措施的通知》</w:t>
      </w:r>
      <w:r>
        <w:rPr>
          <w:rFonts w:hint="eastAsia" w:ascii="宋体" w:hAnsi="宋体" w:eastAsia="宋体" w:cs="宋体"/>
          <w:b w:val="0"/>
          <w:bCs/>
          <w:color w:val="auto"/>
          <w:kern w:val="2"/>
          <w:sz w:val="21"/>
          <w:szCs w:val="21"/>
          <w:lang w:val="en-US" w:eastAsia="zh-CN" w:bidi="ar-SA"/>
        </w:rPr>
        <w:fldChar w:fldCharType="end"/>
      </w:r>
      <w:r>
        <w:rPr>
          <w:rFonts w:hint="eastAsia" w:ascii="宋体" w:hAnsi="宋体" w:eastAsia="宋体" w:cs="宋体"/>
          <w:b w:val="0"/>
          <w:bCs/>
          <w:color w:val="auto"/>
          <w:kern w:val="2"/>
          <w:sz w:val="21"/>
          <w:szCs w:val="21"/>
          <w:lang w:val="en-US" w:eastAsia="zh-CN" w:bidi="ar-SA"/>
        </w:rPr>
        <w:t>（以下简称《通知》）。《通知》指出，建设自由贸易试验区是党中央、国务院在新形势下全面深化改革和扩大开放的战略举措。要以习近平新时代中国特色社会主义思想为指导，全面贯彻党的十九大和十九届二中、三中全会精神，深刻认识支持自贸试验区深化改革创新的重大意义，贯彻新发展理念，进一步发挥自贸试验区全面深化改革和扩大开放试验田作用。截至2018年1月，我国已与132个国家和地区签订投资协定，但由于部分协定尚未履行完生效手续，所以未对外公布。</w:t>
      </w:r>
    </w:p>
    <w:p>
      <w:pPr>
        <w:keepNext w:val="0"/>
        <w:keepLines w:val="0"/>
        <w:pageBreakBefore w:val="0"/>
        <w:widowControl w:val="0"/>
        <w:kinsoku/>
        <w:wordWrap/>
        <w:overflowPunct/>
        <w:topLinePunct w:val="0"/>
        <w:autoSpaceDE/>
        <w:autoSpaceDN/>
        <w:bidi w:val="0"/>
        <w:adjustRightInd/>
        <w:snapToGrid/>
        <w:spacing w:afterAutospacing="0" w:line="360" w:lineRule="auto"/>
        <w:ind w:left="0" w:leftChars="0" w:right="0" w:rightChars="0" w:firstLine="420" w:firstLineChars="200"/>
        <w:jc w:val="both"/>
        <w:textAlignment w:val="auto"/>
        <w:outlineLvl w:val="9"/>
        <w:rPr>
          <w:rFonts w:hint="eastAsia" w:ascii="宋体" w:hAnsi="宋体" w:eastAsia="宋体" w:cs="宋体"/>
          <w:b w:val="0"/>
          <w:bCs/>
          <w:color w:val="auto"/>
          <w:sz w:val="21"/>
          <w:szCs w:val="21"/>
          <w:lang w:val="en-US" w:eastAsia="zh-CN"/>
        </w:rPr>
      </w:pPr>
      <w:r>
        <w:rPr>
          <w:rFonts w:hint="eastAsia" w:ascii="宋体" w:hAnsi="宋体" w:eastAsia="宋体" w:cs="宋体"/>
          <w:i w:val="0"/>
          <w:caps w:val="0"/>
          <w:color w:val="000000"/>
          <w:spacing w:val="0"/>
          <w:sz w:val="21"/>
          <w:szCs w:val="21"/>
          <w:u w:val="none"/>
        </w:rPr>
        <w:t>新加坡属于东盟的一员，而中国与东盟从</w:t>
      </w:r>
      <w:r>
        <w:rPr>
          <w:rFonts w:hint="eastAsia" w:ascii="宋体" w:hAnsi="宋体" w:cs="宋体"/>
          <w:i w:val="0"/>
          <w:caps w:val="0"/>
          <w:color w:val="000000"/>
          <w:spacing w:val="0"/>
          <w:sz w:val="21"/>
          <w:szCs w:val="21"/>
          <w:u w:val="none"/>
          <w:lang w:val="en-US" w:eastAsia="zh-CN"/>
        </w:rPr>
        <w:t>2002</w:t>
      </w:r>
      <w:r>
        <w:rPr>
          <w:rFonts w:hint="eastAsia" w:ascii="宋体" w:hAnsi="宋体" w:eastAsia="宋体" w:cs="宋体"/>
          <w:i w:val="0"/>
          <w:caps w:val="0"/>
          <w:color w:val="000000"/>
          <w:spacing w:val="0"/>
          <w:sz w:val="21"/>
          <w:szCs w:val="21"/>
          <w:u w:val="none"/>
        </w:rPr>
        <w:t>年开始启动自贸区谈判，</w:t>
      </w:r>
      <w:r>
        <w:rPr>
          <w:rFonts w:hint="eastAsia" w:ascii="宋体" w:hAnsi="宋体" w:cs="宋体"/>
          <w:i w:val="0"/>
          <w:caps w:val="0"/>
          <w:color w:val="000000"/>
          <w:spacing w:val="0"/>
          <w:sz w:val="21"/>
          <w:szCs w:val="21"/>
          <w:u w:val="none"/>
          <w:lang w:val="en-US" w:eastAsia="zh-CN"/>
        </w:rPr>
        <w:t>并于2004年11月签署了《货物贸易协议》，规定自2005年7月起对货物实施全面降税。</w:t>
      </w:r>
      <w:r>
        <w:rPr>
          <w:rFonts w:hint="eastAsia" w:ascii="宋体" w:hAnsi="宋体" w:eastAsia="宋体" w:cs="宋体"/>
          <w:b w:val="0"/>
          <w:bCs/>
          <w:color w:val="auto"/>
          <w:kern w:val="2"/>
          <w:sz w:val="21"/>
          <w:szCs w:val="21"/>
          <w:lang w:val="en-US" w:eastAsia="zh-CN" w:bidi="ar-SA"/>
        </w:rPr>
        <w:t>作为全球最大的发展中国家，中国于2008 年10月23日与</w:t>
      </w:r>
      <w:r>
        <w:rPr>
          <w:rFonts w:hint="eastAsia" w:ascii="宋体" w:hAnsi="宋体" w:eastAsia="宋体" w:cs="宋体"/>
          <w:b w:val="0"/>
          <w:bCs/>
          <w:i w:val="0"/>
          <w:caps w:val="0"/>
          <w:color w:val="auto"/>
          <w:spacing w:val="0"/>
          <w:sz w:val="21"/>
          <w:szCs w:val="21"/>
          <w:shd w:val="clear" w:color="auto" w:fill="FFFFFF"/>
          <w:lang w:eastAsia="zh-CN"/>
        </w:rPr>
        <w:t>新加坡</w:t>
      </w:r>
      <w:r>
        <w:rPr>
          <w:rFonts w:hint="eastAsia" w:ascii="宋体" w:hAnsi="宋体" w:eastAsia="宋体" w:cs="宋体"/>
          <w:b w:val="0"/>
          <w:bCs/>
          <w:color w:val="auto"/>
          <w:sz w:val="21"/>
          <w:szCs w:val="21"/>
          <w:lang w:val="en-US" w:eastAsia="zh-CN"/>
        </w:rPr>
        <w:t>签署了《中华人民共和国政府和新加坡共和国政府自由贸易协定》，并与</w:t>
      </w:r>
      <w:r>
        <w:rPr>
          <w:rFonts w:hint="eastAsia" w:ascii="宋体" w:hAnsi="宋体" w:eastAsia="宋体" w:cs="宋体"/>
          <w:b w:val="0"/>
          <w:bCs/>
          <w:color w:val="auto"/>
          <w:sz w:val="21"/>
          <w:szCs w:val="21"/>
        </w:rPr>
        <w:t>2009</w:t>
      </w:r>
      <w:r>
        <w:rPr>
          <w:rFonts w:hint="eastAsia" w:ascii="宋体" w:hAnsi="宋体" w:eastAsia="宋体" w:cs="宋体"/>
          <w:i w:val="0"/>
          <w:caps w:val="0"/>
          <w:color w:val="000000"/>
          <w:spacing w:val="0"/>
          <w:sz w:val="21"/>
          <w:szCs w:val="21"/>
          <w:u w:val="none"/>
        </w:rPr>
        <w:t>年1月1日</w:t>
      </w:r>
      <w:r>
        <w:rPr>
          <w:rFonts w:hint="eastAsia" w:ascii="宋体" w:hAnsi="宋体" w:eastAsia="宋体" w:cs="宋体"/>
          <w:i w:val="0"/>
          <w:caps w:val="0"/>
          <w:color w:val="000000"/>
          <w:spacing w:val="0"/>
          <w:sz w:val="21"/>
          <w:szCs w:val="21"/>
          <w:u w:val="none"/>
          <w:lang w:eastAsia="zh-CN"/>
        </w:rPr>
        <w:t>正式生效。</w:t>
      </w:r>
      <w:r>
        <w:rPr>
          <w:rFonts w:hint="eastAsia" w:ascii="宋体" w:hAnsi="宋体" w:eastAsia="宋体" w:cs="宋体"/>
          <w:i w:val="0"/>
          <w:caps w:val="0"/>
          <w:color w:val="000000"/>
          <w:spacing w:val="0"/>
          <w:sz w:val="21"/>
          <w:szCs w:val="21"/>
          <w:u w:val="none"/>
          <w:lang w:val="en-US" w:eastAsia="zh-CN"/>
        </w:rPr>
        <w:t>由此，新加坡成为</w:t>
      </w:r>
      <w:r>
        <w:rPr>
          <w:rFonts w:hint="eastAsia" w:ascii="宋体" w:hAnsi="宋体" w:eastAsia="宋体" w:cs="宋体"/>
          <w:i w:val="0"/>
          <w:caps w:val="0"/>
          <w:color w:val="000000"/>
          <w:spacing w:val="0"/>
          <w:sz w:val="21"/>
          <w:szCs w:val="21"/>
          <w:u w:val="none"/>
        </w:rPr>
        <w:t>东盟</w:t>
      </w:r>
      <w:r>
        <w:rPr>
          <w:rFonts w:hint="eastAsia" w:ascii="宋体" w:hAnsi="宋体" w:eastAsia="宋体" w:cs="宋体"/>
          <w:i w:val="0"/>
          <w:caps w:val="0"/>
          <w:color w:val="000000"/>
          <w:spacing w:val="0"/>
          <w:sz w:val="21"/>
          <w:szCs w:val="21"/>
          <w:u w:val="none"/>
          <w:lang w:val="en-US" w:eastAsia="zh-CN"/>
        </w:rPr>
        <w:t>成员国中首个单独与中国成立FTA的国家。</w:t>
      </w:r>
      <w:r>
        <w:rPr>
          <w:rFonts w:hint="eastAsia" w:ascii="宋体" w:hAnsi="宋体" w:eastAsia="宋体" w:cs="宋体"/>
          <w:i w:val="0"/>
          <w:caps w:val="0"/>
          <w:color w:val="000000"/>
          <w:spacing w:val="0"/>
          <w:sz w:val="21"/>
          <w:szCs w:val="21"/>
          <w:u w:val="none"/>
          <w:lang w:eastAsia="zh-CN"/>
        </w:rPr>
        <w:t>伴随区域经济化的加深和“一带一路”战略的实施，</w:t>
      </w:r>
      <w:r>
        <w:rPr>
          <w:rFonts w:hint="eastAsia" w:ascii="宋体" w:hAnsi="宋体" w:eastAsia="宋体" w:cs="宋体"/>
          <w:i w:val="0"/>
          <w:caps w:val="0"/>
          <w:color w:val="000000"/>
          <w:spacing w:val="0"/>
          <w:sz w:val="21"/>
          <w:szCs w:val="21"/>
          <w:u w:val="none"/>
          <w:lang w:val="en-US" w:eastAsia="zh-CN"/>
        </w:rPr>
        <w:t xml:space="preserve"> 中新双边贸易额在双方的努力和多年发展下，从2005年的376亿美元增加到2017年的994亿美元，成为彼此重要的贸易伙伴。</w:t>
      </w:r>
    </w:p>
    <w:p>
      <w:pPr>
        <w:keepNext w:val="0"/>
        <w:keepLines w:val="0"/>
        <w:pageBreakBefore w:val="0"/>
        <w:widowControl w:val="0"/>
        <w:kinsoku/>
        <w:wordWrap/>
        <w:overflowPunct/>
        <w:topLinePunct w:val="0"/>
        <w:autoSpaceDE/>
        <w:autoSpaceDN/>
        <w:bidi w:val="0"/>
        <w:adjustRightInd/>
        <w:snapToGrid/>
        <w:spacing w:afterAutospacing="0" w:line="360" w:lineRule="auto"/>
        <w:ind w:left="0" w:leftChars="0" w:right="0" w:rightChars="0" w:firstLine="420" w:firstLineChars="200"/>
        <w:jc w:val="both"/>
        <w:textAlignment w:val="auto"/>
        <w:outlineLvl w:val="9"/>
        <w:rPr>
          <w:rFonts w:hint="eastAsia" w:ascii="宋体" w:hAnsi="宋体" w:eastAsia="宋体" w:cs="宋体"/>
          <w:b w:val="0"/>
          <w:bCs/>
          <w:color w:val="auto"/>
          <w:kern w:val="2"/>
          <w:sz w:val="21"/>
          <w:szCs w:val="21"/>
          <w:lang w:val="en-US" w:eastAsia="zh-CN" w:bidi="ar-SA"/>
        </w:rPr>
      </w:pPr>
      <w:r>
        <w:rPr>
          <w:rFonts w:hint="eastAsia" w:ascii="宋体" w:hAnsi="宋体" w:eastAsia="宋体" w:cs="宋体"/>
          <w:b w:val="0"/>
          <w:bCs/>
          <w:color w:val="auto"/>
          <w:kern w:val="2"/>
          <w:sz w:val="21"/>
          <w:szCs w:val="21"/>
          <w:lang w:val="en-US" w:eastAsia="zh-CN" w:bidi="ar-SA"/>
        </w:rPr>
        <w:t>2015年11月，中新自贸协定升级谈判于正式启动。升级谈判除传统贸易领域外，还涉及服务贸易、投资、原产地规则、贸易救济和经济合作等议题。中方称，协定升级将进一步推动中新经贸关系发展，提升双边经贸合作水平，共同发出坚定维护自由贸易的强烈信号。</w:t>
      </w:r>
    </w:p>
    <w:p>
      <w:pPr>
        <w:keepNext w:val="0"/>
        <w:keepLines w:val="0"/>
        <w:pageBreakBefore w:val="0"/>
        <w:widowControl w:val="0"/>
        <w:kinsoku/>
        <w:wordWrap/>
        <w:overflowPunct/>
        <w:topLinePunct w:val="0"/>
        <w:autoSpaceDE/>
        <w:autoSpaceDN/>
        <w:bidi w:val="0"/>
        <w:adjustRightInd/>
        <w:snapToGrid/>
        <w:spacing w:afterAutospacing="0" w:line="360" w:lineRule="auto"/>
        <w:ind w:right="0" w:rightChars="0"/>
        <w:jc w:val="both"/>
        <w:textAlignment w:val="auto"/>
        <w:outlineLvl w:val="9"/>
        <w:rPr>
          <w:rFonts w:hint="eastAsia" w:ascii="宋体" w:hAnsi="宋体" w:eastAsia="宋体" w:cs="宋体"/>
          <w:b w:val="0"/>
          <w:bCs/>
          <w:color w:val="auto"/>
          <w:kern w:val="2"/>
          <w:sz w:val="21"/>
          <w:szCs w:val="21"/>
          <w:lang w:val="en-US" w:eastAsia="zh-CN" w:bidi="ar-SA"/>
        </w:rPr>
      </w:pPr>
      <w:r>
        <w:rPr>
          <w:rFonts w:hint="eastAsia" w:ascii="宋体" w:hAnsi="宋体" w:cs="宋体"/>
          <w:b w:val="0"/>
          <w:bCs/>
          <w:color w:val="auto"/>
          <w:kern w:val="2"/>
          <w:sz w:val="21"/>
          <w:szCs w:val="21"/>
          <w:lang w:val="en-US" w:eastAsia="zh-CN" w:bidi="ar-SA"/>
        </w:rPr>
        <w:t>2018年</w:t>
      </w:r>
      <w:r>
        <w:rPr>
          <w:rFonts w:hint="eastAsia" w:ascii="宋体" w:hAnsi="宋体" w:eastAsia="宋体" w:cs="宋体"/>
          <w:b w:val="0"/>
          <w:bCs/>
          <w:color w:val="auto"/>
          <w:kern w:val="2"/>
          <w:sz w:val="21"/>
          <w:szCs w:val="21"/>
          <w:lang w:val="en-US" w:eastAsia="zh-CN" w:bidi="ar-SA"/>
        </w:rPr>
        <w:t>11月12日，在李克强总理和新加坡总理李显龙共同见证下，两国政府在新加坡签署《自由贸易协定升级议定书》。</w:t>
      </w:r>
      <w:r>
        <w:rPr>
          <w:rFonts w:hint="eastAsia" w:ascii="宋体" w:hAnsi="宋体" w:cs="宋体"/>
          <w:b w:val="0"/>
          <w:bCs/>
          <w:color w:val="auto"/>
          <w:kern w:val="2"/>
          <w:sz w:val="21"/>
          <w:szCs w:val="21"/>
          <w:lang w:val="en-US" w:eastAsia="zh-CN" w:bidi="ar-SA"/>
        </w:rPr>
        <w:t>这</w:t>
      </w:r>
      <w:r>
        <w:rPr>
          <w:rFonts w:hint="eastAsia" w:ascii="宋体" w:hAnsi="宋体" w:eastAsia="宋体" w:cs="宋体"/>
          <w:b w:val="0"/>
          <w:bCs/>
          <w:color w:val="auto"/>
          <w:kern w:val="2"/>
          <w:sz w:val="21"/>
          <w:szCs w:val="21"/>
          <w:lang w:val="en-US" w:eastAsia="zh-CN" w:bidi="ar-SA"/>
        </w:rPr>
        <w:t>是落实党的十九大提出的“促进自由贸易区建设，推动建设开放型世界经济”的重要步骤，对进一步发挥中新双边经贸合作潜力，深化中国与东盟国家经贸合作具有重要意义。</w:t>
      </w:r>
      <w:r>
        <w:rPr>
          <w:rFonts w:hint="eastAsia" w:ascii="宋体" w:hAnsi="宋体" w:cs="宋体"/>
          <w:b w:val="0"/>
          <w:bCs/>
          <w:color w:val="auto"/>
          <w:kern w:val="2"/>
          <w:sz w:val="21"/>
          <w:szCs w:val="21"/>
          <w:lang w:val="en-US" w:eastAsia="zh-CN" w:bidi="ar-SA"/>
        </w:rPr>
        <w:t>此外，现今我国正处于</w:t>
      </w:r>
      <w:r>
        <w:rPr>
          <w:rFonts w:hint="eastAsia" w:ascii="宋体" w:hAnsi="宋体" w:eastAsia="宋体" w:cs="宋体"/>
          <w:b w:val="0"/>
          <w:bCs/>
          <w:color w:val="auto"/>
          <w:kern w:val="2"/>
          <w:sz w:val="21"/>
          <w:szCs w:val="21"/>
          <w:lang w:val="en-US" w:eastAsia="zh-CN" w:bidi="ar-SA"/>
        </w:rPr>
        <w:t>“一带一路”</w:t>
      </w:r>
      <w:r>
        <w:rPr>
          <w:rFonts w:hint="eastAsia" w:ascii="宋体" w:hAnsi="宋体" w:cs="宋体"/>
          <w:b w:val="0"/>
          <w:bCs/>
          <w:color w:val="auto"/>
          <w:kern w:val="2"/>
          <w:sz w:val="21"/>
          <w:szCs w:val="21"/>
          <w:lang w:val="en-US" w:eastAsia="zh-CN" w:bidi="ar-SA"/>
        </w:rPr>
        <w:t>战略合作阶段，中新FTA的建立和发展，</w:t>
      </w:r>
      <w:r>
        <w:rPr>
          <w:rFonts w:hint="eastAsia" w:ascii="宋体" w:hAnsi="宋体" w:eastAsia="宋体" w:cs="宋体"/>
          <w:b w:val="0"/>
          <w:bCs/>
          <w:color w:val="auto"/>
          <w:kern w:val="2"/>
          <w:sz w:val="21"/>
          <w:szCs w:val="21"/>
          <w:lang w:val="en-US" w:eastAsia="zh-CN" w:bidi="ar-SA"/>
        </w:rPr>
        <w:t>对于深化双方全方位合作、实现共同发展目标、建立和强化互联互通以及促进地区和平发展</w:t>
      </w:r>
      <w:r>
        <w:rPr>
          <w:rFonts w:hint="eastAsia" w:ascii="宋体" w:hAnsi="宋体" w:cs="宋体"/>
          <w:b w:val="0"/>
          <w:bCs/>
          <w:color w:val="auto"/>
          <w:kern w:val="2"/>
          <w:sz w:val="21"/>
          <w:szCs w:val="21"/>
          <w:lang w:val="en-US" w:eastAsia="zh-CN" w:bidi="ar-SA"/>
        </w:rPr>
        <w:t>更具有</w:t>
      </w:r>
      <w:r>
        <w:rPr>
          <w:rFonts w:hint="eastAsia" w:ascii="宋体" w:hAnsi="宋体" w:eastAsia="宋体" w:cs="宋体"/>
          <w:b w:val="0"/>
          <w:bCs/>
          <w:color w:val="auto"/>
          <w:kern w:val="2"/>
          <w:sz w:val="21"/>
          <w:szCs w:val="21"/>
          <w:lang w:val="en-US" w:eastAsia="zh-CN" w:bidi="ar-SA"/>
        </w:rPr>
        <w:t>重要</w:t>
      </w:r>
      <w:r>
        <w:rPr>
          <w:rFonts w:hint="eastAsia" w:ascii="宋体" w:hAnsi="宋体" w:cs="宋体"/>
          <w:b w:val="0"/>
          <w:bCs/>
          <w:color w:val="auto"/>
          <w:kern w:val="2"/>
          <w:sz w:val="21"/>
          <w:szCs w:val="21"/>
          <w:lang w:val="en-US" w:eastAsia="zh-CN" w:bidi="ar-SA"/>
        </w:rPr>
        <w:t>的</w:t>
      </w:r>
      <w:r>
        <w:rPr>
          <w:rFonts w:hint="eastAsia" w:ascii="宋体" w:hAnsi="宋体" w:eastAsia="宋体" w:cs="宋体"/>
          <w:b w:val="0"/>
          <w:bCs/>
          <w:color w:val="auto"/>
          <w:kern w:val="2"/>
          <w:sz w:val="21"/>
          <w:szCs w:val="21"/>
          <w:lang w:val="en-US" w:eastAsia="zh-CN" w:bidi="ar-SA"/>
        </w:rPr>
        <w:t>意义。</w:t>
      </w:r>
    </w:p>
    <w:p>
      <w:pPr>
        <w:keepNext w:val="0"/>
        <w:keepLines w:val="0"/>
        <w:pageBreakBefore w:val="0"/>
        <w:widowControl w:val="0"/>
        <w:kinsoku/>
        <w:wordWrap/>
        <w:overflowPunct/>
        <w:topLinePunct w:val="0"/>
        <w:autoSpaceDE/>
        <w:autoSpaceDN/>
        <w:bidi w:val="0"/>
        <w:adjustRightInd/>
        <w:snapToGrid/>
        <w:spacing w:afterAutospacing="0" w:line="360" w:lineRule="auto"/>
        <w:ind w:right="0" w:rightChars="0" w:firstLine="420" w:firstLineChars="200"/>
        <w:jc w:val="both"/>
        <w:textAlignment w:val="auto"/>
        <w:outlineLvl w:val="9"/>
        <w:rPr>
          <w:rFonts w:hint="eastAsia"/>
          <w:szCs w:val="21"/>
          <w:lang w:eastAsia="zh-CN"/>
        </w:rPr>
      </w:pPr>
      <w:r>
        <w:rPr>
          <w:rFonts w:hint="eastAsia" w:ascii="宋体" w:hAnsi="宋体" w:eastAsia="宋体" w:cs="宋体"/>
          <w:b w:val="0"/>
          <w:bCs/>
          <w:color w:val="auto"/>
          <w:kern w:val="2"/>
          <w:sz w:val="21"/>
          <w:szCs w:val="21"/>
          <w:lang w:val="en-US" w:eastAsia="zh-CN" w:bidi="ar-SA"/>
        </w:rPr>
        <w:t>而中新FTA的成立对中新贸易的影响作用如何？又在总贸易与行业角度上产生了怎样的贸易效应？这是本文的研究问题。</w:t>
      </w:r>
      <w:r>
        <w:rPr>
          <w:rFonts w:hint="eastAsia" w:ascii="宋体" w:hAnsi="宋体" w:cs="宋体"/>
          <w:b w:val="0"/>
          <w:bCs/>
          <w:color w:val="auto"/>
          <w:kern w:val="2"/>
          <w:sz w:val="21"/>
          <w:szCs w:val="21"/>
          <w:lang w:val="en-US" w:eastAsia="zh-CN" w:bidi="ar-SA"/>
        </w:rPr>
        <w:t>因此，</w:t>
      </w:r>
      <w:r>
        <w:rPr>
          <w:rFonts w:hint="eastAsia"/>
          <w:szCs w:val="21"/>
        </w:rPr>
        <w:t>本文</w:t>
      </w:r>
      <w:r>
        <w:rPr>
          <w:rFonts w:hint="eastAsia"/>
          <w:szCs w:val="21"/>
          <w:lang w:val="en-US" w:eastAsia="zh-CN"/>
        </w:rPr>
        <w:t>将</w:t>
      </w:r>
      <w:r>
        <w:rPr>
          <w:rFonts w:hint="eastAsia"/>
          <w:szCs w:val="21"/>
        </w:rPr>
        <w:t>使用中新两国及相关非FTA伙伴国的贸易数据，就</w:t>
      </w:r>
      <w:r>
        <w:rPr>
          <w:rFonts w:hint="eastAsia"/>
          <w:szCs w:val="21"/>
          <w:lang w:val="en-US" w:eastAsia="zh-CN"/>
        </w:rPr>
        <w:t>中新FTA</w:t>
      </w:r>
      <w:r>
        <w:rPr>
          <w:rFonts w:hint="eastAsia"/>
          <w:szCs w:val="21"/>
        </w:rPr>
        <w:t>的</w:t>
      </w:r>
      <w:r>
        <w:rPr>
          <w:rFonts w:hint="eastAsia"/>
          <w:szCs w:val="21"/>
          <w:lang w:val="en-US" w:eastAsia="zh-CN"/>
        </w:rPr>
        <w:t>贸易静态效应、</w:t>
      </w:r>
      <w:r>
        <w:rPr>
          <w:rFonts w:hint="eastAsia"/>
          <w:szCs w:val="21"/>
        </w:rPr>
        <w:t>贸易创造与贸易转移效应进行实证性分析与检验</w:t>
      </w:r>
      <w:r>
        <w:rPr>
          <w:rFonts w:hint="eastAsia"/>
          <w:szCs w:val="21"/>
          <w:lang w:eastAsia="zh-CN"/>
        </w:rPr>
        <w:t>，</w:t>
      </w:r>
      <w:r>
        <w:rPr>
          <w:rFonts w:hint="eastAsia"/>
          <w:szCs w:val="21"/>
        </w:rPr>
        <w:t>重点回答以下</w:t>
      </w:r>
      <w:r>
        <w:rPr>
          <w:rFonts w:hint="eastAsia"/>
          <w:szCs w:val="21"/>
          <w:lang w:val="en-US" w:eastAsia="zh-CN"/>
        </w:rPr>
        <w:t>三</w:t>
      </w:r>
      <w:r>
        <w:rPr>
          <w:rFonts w:hint="eastAsia"/>
          <w:szCs w:val="21"/>
        </w:rPr>
        <w:t>个事实问题：第一，</w:t>
      </w:r>
      <w:r>
        <w:rPr>
          <w:rFonts w:hint="eastAsia"/>
          <w:szCs w:val="21"/>
          <w:lang w:val="en-US" w:eastAsia="zh-CN"/>
        </w:rPr>
        <w:t>利用各类图表及指数测度中新FTA的贸易静态效应，观察中新FTA的贸易发展趋势。第二，中新FTA的</w:t>
      </w:r>
      <w:r>
        <w:rPr>
          <w:rFonts w:hint="eastAsia"/>
          <w:szCs w:val="21"/>
        </w:rPr>
        <w:t>贸易创造和贸易转移效应有多大？第二，在微观</w:t>
      </w:r>
      <w:r>
        <w:rPr>
          <w:rFonts w:hint="eastAsia"/>
          <w:szCs w:val="21"/>
          <w:lang w:val="en-US" w:eastAsia="zh-CN"/>
        </w:rPr>
        <w:t>行业角度</w:t>
      </w:r>
      <w:r>
        <w:rPr>
          <w:rFonts w:hint="eastAsia"/>
          <w:szCs w:val="21"/>
        </w:rPr>
        <w:t>上，两种贸易效应的影响如何？</w:t>
      </w:r>
      <w:r>
        <w:rPr>
          <w:rFonts w:hint="eastAsia"/>
          <w:szCs w:val="21"/>
          <w:lang w:val="en-US" w:eastAsia="zh-CN"/>
        </w:rPr>
        <w:t>在通过总贸易数据进行分析的同时，使用SITC不同行业</w:t>
      </w:r>
      <w:r>
        <w:rPr>
          <w:rFonts w:hint="eastAsia"/>
          <w:szCs w:val="21"/>
        </w:rPr>
        <w:t>的微观数据研究</w:t>
      </w:r>
      <w:r>
        <w:rPr>
          <w:rFonts w:hint="eastAsia"/>
          <w:szCs w:val="21"/>
          <w:lang w:val="en-US" w:eastAsia="zh-CN"/>
        </w:rPr>
        <w:t>研究</w:t>
      </w:r>
      <w:r>
        <w:rPr>
          <w:rFonts w:hint="eastAsia"/>
          <w:szCs w:val="21"/>
        </w:rPr>
        <w:t>贸易创造与贸易转移效应</w:t>
      </w:r>
      <w:r>
        <w:rPr>
          <w:rFonts w:hint="eastAsia"/>
          <w:szCs w:val="21"/>
          <w:lang w:eastAsia="zh-CN"/>
        </w:rPr>
        <w:t>。</w:t>
      </w:r>
    </w:p>
    <w:p>
      <w:pPr>
        <w:keepNext w:val="0"/>
        <w:keepLines w:val="0"/>
        <w:pageBreakBefore w:val="0"/>
        <w:widowControl w:val="0"/>
        <w:kinsoku/>
        <w:wordWrap/>
        <w:overflowPunct/>
        <w:topLinePunct w:val="0"/>
        <w:autoSpaceDE/>
        <w:autoSpaceDN/>
        <w:bidi w:val="0"/>
        <w:adjustRightInd/>
        <w:snapToGrid/>
        <w:spacing w:afterAutospacing="0" w:line="360" w:lineRule="auto"/>
        <w:ind w:right="0" w:rightChars="0" w:firstLine="420" w:firstLineChars="200"/>
        <w:jc w:val="both"/>
        <w:textAlignment w:val="auto"/>
        <w:outlineLvl w:val="9"/>
        <w:rPr>
          <w:rFonts w:hint="eastAsia" w:ascii="宋体" w:hAnsi="宋体" w:eastAsia="宋体" w:cs="宋体"/>
          <w:i w:val="0"/>
          <w:caps w:val="0"/>
          <w:color w:val="333333"/>
          <w:spacing w:val="0"/>
          <w:sz w:val="24"/>
          <w:szCs w:val="24"/>
          <w:shd w:val="clear" w:color="auto" w:fill="FFFFFF"/>
        </w:rPr>
      </w:pPr>
      <w:r>
        <w:rPr>
          <w:rFonts w:hint="eastAsia" w:ascii="宋体" w:hAnsi="宋体" w:eastAsia="宋体" w:cs="宋体"/>
          <w:b w:val="0"/>
          <w:bCs/>
          <w:color w:val="auto"/>
          <w:kern w:val="2"/>
          <w:sz w:val="21"/>
          <w:szCs w:val="21"/>
          <w:lang w:val="en-US" w:eastAsia="zh-CN" w:bidi="ar-SA"/>
        </w:rPr>
        <w:t>现今，中国正处于开放型经济经济新体制，分析自由贸易区的建立对两国贸易产生的影响，并探讨贸易效应的成因，可为正在进行中的自由贸易区建设提借鉴，促进我国经济发展。</w:t>
      </w:r>
    </w:p>
    <w:p>
      <w:pPr>
        <w:spacing w:line="360" w:lineRule="auto"/>
        <w:rPr>
          <w:b/>
          <w:szCs w:val="21"/>
        </w:rPr>
      </w:pPr>
      <w:r>
        <w:rPr>
          <w:b/>
          <w:szCs w:val="21"/>
        </w:rPr>
        <w:t>四、主要研究内容和方法</w:t>
      </w:r>
    </w:p>
    <w:p>
      <w:pPr>
        <w:spacing w:line="360" w:lineRule="auto"/>
        <w:rPr>
          <w:szCs w:val="21"/>
        </w:rPr>
      </w:pPr>
      <w:r>
        <w:rPr>
          <w:rFonts w:hint="eastAsia"/>
          <w:szCs w:val="21"/>
          <w:lang w:eastAsia="zh-CN"/>
        </w:rPr>
        <w:t>（</w:t>
      </w:r>
      <w:r>
        <w:rPr>
          <w:rFonts w:hint="eastAsia"/>
          <w:szCs w:val="21"/>
          <w:lang w:val="en-US" w:eastAsia="zh-CN"/>
        </w:rPr>
        <w:t>一</w:t>
      </w:r>
      <w:r>
        <w:rPr>
          <w:rFonts w:hint="eastAsia"/>
          <w:szCs w:val="21"/>
          <w:lang w:eastAsia="zh-CN"/>
        </w:rPr>
        <w:t>）</w:t>
      </w:r>
      <w:r>
        <w:rPr>
          <w:szCs w:val="21"/>
        </w:rPr>
        <w:t>主要研究内容</w:t>
      </w:r>
    </w:p>
    <w:p>
      <w:pPr>
        <w:numPr>
          <w:ilvl w:val="0"/>
          <w:numId w:val="0"/>
        </w:numPr>
        <w:spacing w:line="360" w:lineRule="auto"/>
        <w:ind w:leftChars="0"/>
        <w:rPr>
          <w:rFonts w:hint="eastAsia"/>
          <w:szCs w:val="21"/>
          <w:lang w:eastAsia="zh-CN"/>
        </w:rPr>
      </w:pPr>
      <w:r>
        <w:rPr>
          <w:rFonts w:hint="eastAsia"/>
          <w:szCs w:val="21"/>
        </w:rPr>
        <w:t xml:space="preserve">  </w:t>
      </w:r>
      <w:r>
        <w:rPr>
          <w:rFonts w:hint="eastAsia"/>
          <w:szCs w:val="21"/>
          <w:lang w:val="en-US" w:eastAsia="zh-CN"/>
        </w:rPr>
        <w:t xml:space="preserve"> </w:t>
      </w:r>
      <w:r>
        <w:rPr>
          <w:rFonts w:hint="eastAsia"/>
          <w:szCs w:val="21"/>
        </w:rPr>
        <w:t>本文</w:t>
      </w:r>
      <w:r>
        <w:rPr>
          <w:rFonts w:hint="eastAsia"/>
          <w:szCs w:val="21"/>
          <w:lang w:val="en-US" w:eastAsia="zh-CN"/>
        </w:rPr>
        <w:t>将</w:t>
      </w:r>
      <w:r>
        <w:rPr>
          <w:rFonts w:hint="eastAsia"/>
          <w:szCs w:val="21"/>
        </w:rPr>
        <w:t>使用中新两国及相关非FTA伙伴国的</w:t>
      </w:r>
      <w:r>
        <w:rPr>
          <w:rFonts w:hint="eastAsia"/>
          <w:szCs w:val="21"/>
          <w:lang w:val="en-US" w:eastAsia="zh-CN"/>
        </w:rPr>
        <w:t>相关</w:t>
      </w:r>
      <w:r>
        <w:rPr>
          <w:rFonts w:hint="eastAsia"/>
          <w:szCs w:val="21"/>
        </w:rPr>
        <w:t>数据，</w:t>
      </w:r>
      <w:r>
        <w:rPr>
          <w:rFonts w:hint="eastAsia"/>
          <w:szCs w:val="21"/>
          <w:lang w:val="en-US" w:eastAsia="zh-CN"/>
        </w:rPr>
        <w:t>从静态和动态两个层面，宏观和微观两个角度</w:t>
      </w:r>
      <w:r>
        <w:rPr>
          <w:rFonts w:hint="eastAsia"/>
          <w:szCs w:val="21"/>
        </w:rPr>
        <w:t>就</w:t>
      </w:r>
      <w:r>
        <w:rPr>
          <w:rFonts w:hint="eastAsia"/>
          <w:szCs w:val="21"/>
          <w:lang w:val="en-US" w:eastAsia="zh-CN"/>
        </w:rPr>
        <w:t>中新FTA</w:t>
      </w:r>
      <w:r>
        <w:rPr>
          <w:rFonts w:hint="eastAsia"/>
          <w:szCs w:val="21"/>
        </w:rPr>
        <w:t>的贸易创造与贸易转移效应进行实证性分析与检验</w:t>
      </w:r>
      <w:r>
        <w:rPr>
          <w:rFonts w:hint="eastAsia"/>
          <w:szCs w:val="21"/>
          <w:lang w:eastAsia="zh-CN"/>
        </w:rPr>
        <w:t>。</w:t>
      </w:r>
    </w:p>
    <w:p>
      <w:pPr>
        <w:numPr>
          <w:ilvl w:val="0"/>
          <w:numId w:val="0"/>
        </w:numPr>
        <w:spacing w:line="360" w:lineRule="auto"/>
        <w:rPr>
          <w:rFonts w:hint="eastAsia"/>
          <w:szCs w:val="21"/>
          <w:lang w:val="en-US" w:eastAsia="zh-CN"/>
        </w:rPr>
      </w:pPr>
      <w:r>
        <w:rPr>
          <w:rFonts w:hint="eastAsia"/>
          <w:szCs w:val="21"/>
          <w:lang w:val="en-US" w:eastAsia="zh-CN"/>
        </w:rPr>
        <w:t>（二）文章框架</w:t>
      </w:r>
    </w:p>
    <w:p>
      <w:pPr>
        <w:spacing w:line="360" w:lineRule="auto"/>
        <w:rPr>
          <w:rFonts w:hint="eastAsia"/>
          <w:szCs w:val="21"/>
          <w:lang w:val="en-US" w:eastAsia="zh-CN"/>
        </w:rPr>
      </w:pPr>
      <w:r>
        <w:rPr>
          <w:rFonts w:hint="eastAsia"/>
          <w:szCs w:val="21"/>
          <w:lang w:val="en-US" w:eastAsia="zh-CN"/>
        </w:rPr>
        <w:t>第一章：绪论</w:t>
      </w:r>
    </w:p>
    <w:p>
      <w:pPr>
        <w:spacing w:line="360" w:lineRule="auto"/>
        <w:rPr>
          <w:rFonts w:hint="eastAsia"/>
          <w:szCs w:val="21"/>
          <w:lang w:val="en-US" w:eastAsia="zh-CN"/>
        </w:rPr>
      </w:pPr>
      <w:r>
        <w:rPr>
          <w:rFonts w:hint="eastAsia"/>
          <w:szCs w:val="21"/>
          <w:lang w:val="en-US" w:eastAsia="zh-CN"/>
        </w:rPr>
        <w:t>1.1研究背景及意义</w:t>
      </w:r>
    </w:p>
    <w:p>
      <w:pPr>
        <w:spacing w:line="360" w:lineRule="auto"/>
        <w:ind w:firstLine="420" w:firstLineChars="200"/>
        <w:rPr>
          <w:rFonts w:hint="eastAsia"/>
          <w:szCs w:val="21"/>
          <w:lang w:val="en-US" w:eastAsia="zh-CN"/>
        </w:rPr>
      </w:pPr>
      <w:r>
        <w:rPr>
          <w:rFonts w:hint="eastAsia"/>
          <w:szCs w:val="21"/>
          <w:lang w:val="en-US" w:eastAsia="zh-CN"/>
        </w:rPr>
        <w:t>1.1.1选题来源</w:t>
      </w:r>
    </w:p>
    <w:p>
      <w:pPr>
        <w:spacing w:line="360" w:lineRule="auto"/>
        <w:ind w:firstLine="420" w:firstLineChars="200"/>
        <w:rPr>
          <w:rFonts w:hint="eastAsia"/>
          <w:szCs w:val="21"/>
          <w:lang w:val="en-US" w:eastAsia="zh-CN"/>
        </w:rPr>
      </w:pPr>
      <w:r>
        <w:rPr>
          <w:rFonts w:hint="eastAsia"/>
          <w:szCs w:val="21"/>
          <w:lang w:val="en-US" w:eastAsia="zh-CN"/>
        </w:rPr>
        <w:t>1.1.2研究背景</w:t>
      </w:r>
    </w:p>
    <w:p>
      <w:pPr>
        <w:spacing w:line="360" w:lineRule="auto"/>
        <w:ind w:firstLine="420" w:firstLineChars="200"/>
        <w:rPr>
          <w:rFonts w:hint="eastAsia"/>
          <w:szCs w:val="21"/>
          <w:lang w:val="en-US" w:eastAsia="zh-CN"/>
        </w:rPr>
      </w:pPr>
      <w:r>
        <w:rPr>
          <w:rFonts w:hint="eastAsia"/>
          <w:szCs w:val="21"/>
          <w:lang w:val="en-US" w:eastAsia="zh-CN"/>
        </w:rPr>
        <w:t>1.1.3研究目的及意义</w:t>
      </w:r>
    </w:p>
    <w:p>
      <w:pPr>
        <w:spacing w:line="360" w:lineRule="auto"/>
        <w:rPr>
          <w:rFonts w:hint="eastAsia"/>
          <w:szCs w:val="21"/>
          <w:lang w:val="en-US" w:eastAsia="zh-CN"/>
        </w:rPr>
      </w:pPr>
      <w:r>
        <w:rPr>
          <w:rFonts w:hint="eastAsia"/>
          <w:szCs w:val="21"/>
          <w:lang w:val="en-US" w:eastAsia="zh-CN"/>
        </w:rPr>
        <w:t>1.2研究内容及研究方法</w:t>
      </w:r>
    </w:p>
    <w:p>
      <w:pPr>
        <w:spacing w:line="360" w:lineRule="auto"/>
        <w:rPr>
          <w:rFonts w:hint="eastAsia"/>
          <w:szCs w:val="21"/>
          <w:lang w:val="en-US" w:eastAsia="zh-CN"/>
        </w:rPr>
      </w:pPr>
      <w:r>
        <w:rPr>
          <w:rFonts w:hint="eastAsia"/>
          <w:szCs w:val="21"/>
          <w:lang w:val="en-US" w:eastAsia="zh-CN"/>
        </w:rPr>
        <w:t>1.3创新点及不足之处</w:t>
      </w:r>
    </w:p>
    <w:p>
      <w:pPr>
        <w:spacing w:line="360" w:lineRule="auto"/>
        <w:rPr>
          <w:rFonts w:hint="eastAsia"/>
          <w:szCs w:val="21"/>
          <w:lang w:val="en-US" w:eastAsia="zh-CN"/>
        </w:rPr>
      </w:pPr>
      <w:r>
        <w:rPr>
          <w:rFonts w:hint="eastAsia"/>
          <w:szCs w:val="21"/>
          <w:lang w:val="en-US" w:eastAsia="zh-CN"/>
        </w:rPr>
        <w:t>第二章：FTA的相关理论及文献综述</w:t>
      </w:r>
    </w:p>
    <w:p>
      <w:pPr>
        <w:spacing w:line="360" w:lineRule="auto"/>
        <w:rPr>
          <w:rFonts w:hint="eastAsia"/>
          <w:szCs w:val="21"/>
          <w:lang w:val="en-US" w:eastAsia="zh-CN"/>
        </w:rPr>
      </w:pPr>
      <w:r>
        <w:rPr>
          <w:rFonts w:hint="eastAsia"/>
          <w:szCs w:val="21"/>
          <w:lang w:val="en-US" w:eastAsia="zh-CN"/>
        </w:rPr>
        <w:t>2.1FTA的相关理论</w:t>
      </w:r>
    </w:p>
    <w:p>
      <w:pPr>
        <w:spacing w:line="360" w:lineRule="auto"/>
        <w:ind w:firstLine="420" w:firstLineChars="200"/>
        <w:rPr>
          <w:rFonts w:hint="eastAsia"/>
          <w:szCs w:val="21"/>
          <w:lang w:val="en-US" w:eastAsia="zh-CN"/>
        </w:rPr>
      </w:pPr>
      <w:r>
        <w:rPr>
          <w:szCs w:val="21"/>
        </w:rPr>
        <w:t>2.1.1</w:t>
      </w:r>
      <w:r>
        <w:rPr>
          <w:rFonts w:hint="eastAsia"/>
          <w:szCs w:val="21"/>
          <w:lang w:val="en-US" w:eastAsia="zh-CN"/>
        </w:rPr>
        <w:t>自由贸易区理论</w:t>
      </w:r>
    </w:p>
    <w:p>
      <w:pPr>
        <w:spacing w:line="360" w:lineRule="auto"/>
        <w:ind w:firstLine="420" w:firstLineChars="200"/>
        <w:rPr>
          <w:szCs w:val="21"/>
        </w:rPr>
      </w:pPr>
      <w:r>
        <w:rPr>
          <w:szCs w:val="21"/>
        </w:rPr>
        <w:t xml:space="preserve">2.1.2贸易创造与贸易转移 </w:t>
      </w:r>
    </w:p>
    <w:p>
      <w:pPr>
        <w:spacing w:line="360" w:lineRule="auto"/>
        <w:rPr>
          <w:rFonts w:hint="eastAsia"/>
          <w:szCs w:val="21"/>
          <w:lang w:val="en-US" w:eastAsia="zh-CN"/>
        </w:rPr>
      </w:pPr>
      <w:r>
        <w:rPr>
          <w:rFonts w:hint="eastAsia"/>
          <w:szCs w:val="21"/>
          <w:lang w:val="en-US" w:eastAsia="zh-CN"/>
        </w:rPr>
        <w:t>2.2国内外文献综述</w:t>
      </w:r>
    </w:p>
    <w:p>
      <w:pPr>
        <w:spacing w:line="360" w:lineRule="auto"/>
        <w:ind w:firstLine="420" w:firstLineChars="200"/>
        <w:rPr>
          <w:szCs w:val="21"/>
        </w:rPr>
      </w:pPr>
      <w:r>
        <w:rPr>
          <w:szCs w:val="21"/>
        </w:rPr>
        <w:t>2.2.1从</w:t>
      </w:r>
      <w:r>
        <w:rPr>
          <w:rFonts w:hint="eastAsia"/>
          <w:szCs w:val="21"/>
          <w:lang w:val="en-US" w:eastAsia="zh-CN"/>
        </w:rPr>
        <w:t>贸易创造与贸易转移</w:t>
      </w:r>
      <w:r>
        <w:rPr>
          <w:rFonts w:hint="eastAsia"/>
          <w:szCs w:val="21"/>
        </w:rPr>
        <w:t>的研究</w:t>
      </w:r>
      <w:r>
        <w:rPr>
          <w:szCs w:val="21"/>
        </w:rPr>
        <w:t>角度</w:t>
      </w:r>
    </w:p>
    <w:p>
      <w:pPr>
        <w:spacing w:line="360" w:lineRule="auto"/>
        <w:ind w:firstLine="420" w:firstLineChars="200"/>
        <w:rPr>
          <w:rFonts w:hint="eastAsia"/>
          <w:szCs w:val="21"/>
          <w:lang w:val="en-US" w:eastAsia="zh-CN"/>
        </w:rPr>
      </w:pPr>
      <w:r>
        <w:rPr>
          <w:szCs w:val="21"/>
        </w:rPr>
        <w:t>2.2.2从</w:t>
      </w:r>
      <w:r>
        <w:rPr>
          <w:rFonts w:hint="eastAsia"/>
          <w:szCs w:val="21"/>
          <w:lang w:val="en-US" w:eastAsia="zh-CN"/>
        </w:rPr>
        <w:t>引力模型的角度</w:t>
      </w:r>
    </w:p>
    <w:p>
      <w:pPr>
        <w:spacing w:line="360" w:lineRule="auto"/>
        <w:ind w:firstLine="420" w:firstLineChars="200"/>
        <w:rPr>
          <w:rFonts w:hint="eastAsia"/>
          <w:szCs w:val="21"/>
          <w:lang w:val="en-US" w:eastAsia="zh-CN"/>
        </w:rPr>
      </w:pPr>
      <w:r>
        <w:rPr>
          <w:rFonts w:hint="eastAsia"/>
          <w:szCs w:val="21"/>
        </w:rPr>
        <w:t>2.2.3</w:t>
      </w:r>
      <w:r>
        <w:rPr>
          <w:rFonts w:hint="eastAsia"/>
          <w:szCs w:val="21"/>
          <w:lang w:val="en-US" w:eastAsia="zh-CN"/>
        </w:rPr>
        <w:t>从中国-秘鲁FTA的研究角度</w:t>
      </w:r>
    </w:p>
    <w:p>
      <w:pPr>
        <w:spacing w:line="360" w:lineRule="auto"/>
        <w:rPr>
          <w:rFonts w:hint="eastAsia"/>
          <w:szCs w:val="21"/>
          <w:lang w:val="en-US" w:eastAsia="zh-CN"/>
        </w:rPr>
      </w:pPr>
      <w:r>
        <w:rPr>
          <w:rFonts w:hint="eastAsia"/>
          <w:szCs w:val="21"/>
          <w:lang w:val="en-US" w:eastAsia="zh-CN"/>
        </w:rPr>
        <w:t>第三章：中国和新加坡贸易发展状况</w:t>
      </w:r>
    </w:p>
    <w:p>
      <w:pPr>
        <w:spacing w:line="360" w:lineRule="auto"/>
        <w:rPr>
          <w:rFonts w:hint="eastAsia"/>
          <w:szCs w:val="21"/>
          <w:lang w:val="en-US" w:eastAsia="zh-CN"/>
        </w:rPr>
      </w:pPr>
      <w:r>
        <w:rPr>
          <w:rFonts w:hint="eastAsia"/>
          <w:szCs w:val="21"/>
          <w:lang w:val="en-US" w:eastAsia="zh-CN"/>
        </w:rPr>
        <w:t>3.1引言</w:t>
      </w:r>
    </w:p>
    <w:p>
      <w:pPr>
        <w:spacing w:line="360" w:lineRule="auto"/>
        <w:rPr>
          <w:rFonts w:hint="eastAsia"/>
          <w:szCs w:val="21"/>
          <w:lang w:val="en-US" w:eastAsia="zh-CN"/>
        </w:rPr>
      </w:pPr>
      <w:r>
        <w:rPr>
          <w:rFonts w:hint="eastAsia"/>
          <w:szCs w:val="21"/>
          <w:lang w:val="en-US" w:eastAsia="zh-CN"/>
        </w:rPr>
        <w:t>3.2中国对新加坡出口下的FTA效应</w:t>
      </w:r>
    </w:p>
    <w:p>
      <w:pPr>
        <w:spacing w:line="360" w:lineRule="auto"/>
        <w:rPr>
          <w:rFonts w:hint="eastAsia"/>
          <w:szCs w:val="21"/>
          <w:lang w:val="en-US" w:eastAsia="zh-CN"/>
        </w:rPr>
      </w:pPr>
      <w:r>
        <w:rPr>
          <w:rFonts w:hint="eastAsia"/>
          <w:szCs w:val="21"/>
          <w:lang w:val="en-US" w:eastAsia="zh-CN"/>
        </w:rPr>
        <w:t>3.3中国从新加坡进口下的FTA效应</w:t>
      </w:r>
    </w:p>
    <w:p>
      <w:pPr>
        <w:spacing w:line="360" w:lineRule="auto"/>
        <w:rPr>
          <w:rFonts w:hint="eastAsia"/>
          <w:szCs w:val="21"/>
          <w:lang w:val="en-US" w:eastAsia="zh-CN"/>
        </w:rPr>
      </w:pPr>
      <w:r>
        <w:rPr>
          <w:rFonts w:hint="eastAsia"/>
          <w:szCs w:val="21"/>
          <w:lang w:val="en-US" w:eastAsia="zh-CN"/>
        </w:rPr>
        <w:t>第四章：中国和新加坡贸易静态效应研究</w:t>
      </w:r>
    </w:p>
    <w:p>
      <w:pPr>
        <w:spacing w:line="360" w:lineRule="auto"/>
        <w:rPr>
          <w:rFonts w:hint="eastAsia"/>
          <w:szCs w:val="21"/>
          <w:lang w:val="en-US" w:eastAsia="zh-CN"/>
        </w:rPr>
      </w:pPr>
      <w:r>
        <w:rPr>
          <w:rFonts w:hint="eastAsia"/>
          <w:szCs w:val="21"/>
          <w:lang w:val="en-US" w:eastAsia="zh-CN"/>
        </w:rPr>
        <w:t>4.1引言</w:t>
      </w:r>
    </w:p>
    <w:p>
      <w:pPr>
        <w:spacing w:line="360" w:lineRule="auto"/>
        <w:rPr>
          <w:rFonts w:hint="eastAsia"/>
          <w:szCs w:val="21"/>
          <w:lang w:val="en-US" w:eastAsia="zh-CN"/>
        </w:rPr>
      </w:pPr>
      <w:r>
        <w:rPr>
          <w:rFonts w:hint="eastAsia"/>
          <w:szCs w:val="21"/>
          <w:lang w:val="en-US" w:eastAsia="zh-CN"/>
        </w:rPr>
        <w:t>4.2贸易结合度分析</w:t>
      </w:r>
    </w:p>
    <w:p>
      <w:pPr>
        <w:spacing w:line="360" w:lineRule="auto"/>
        <w:rPr>
          <w:rFonts w:hint="eastAsia"/>
          <w:szCs w:val="21"/>
          <w:lang w:val="en-US" w:eastAsia="zh-CN"/>
        </w:rPr>
      </w:pPr>
      <w:r>
        <w:rPr>
          <w:rFonts w:hint="eastAsia"/>
          <w:szCs w:val="21"/>
          <w:lang w:val="en-US" w:eastAsia="zh-CN"/>
        </w:rPr>
        <w:t>4.3显示性竞争指数分析</w:t>
      </w:r>
    </w:p>
    <w:p>
      <w:pPr>
        <w:spacing w:line="360" w:lineRule="auto"/>
        <w:rPr>
          <w:rFonts w:hint="eastAsia"/>
          <w:szCs w:val="21"/>
          <w:lang w:val="en-US" w:eastAsia="zh-CN"/>
        </w:rPr>
      </w:pPr>
      <w:r>
        <w:rPr>
          <w:rFonts w:hint="eastAsia"/>
          <w:szCs w:val="21"/>
          <w:lang w:val="en-US" w:eastAsia="zh-CN"/>
        </w:rPr>
        <w:t>4.4综合贸易互补性分析</w:t>
      </w:r>
    </w:p>
    <w:p>
      <w:pPr>
        <w:spacing w:line="360" w:lineRule="auto"/>
        <w:rPr>
          <w:rFonts w:hint="eastAsia"/>
          <w:szCs w:val="21"/>
          <w:lang w:val="en-US" w:eastAsia="zh-CN"/>
        </w:rPr>
      </w:pPr>
      <w:r>
        <w:rPr>
          <w:rFonts w:hint="eastAsia"/>
          <w:szCs w:val="21"/>
          <w:lang w:val="en-US" w:eastAsia="zh-CN"/>
        </w:rPr>
        <w:t>4.5产业内贸易分析</w:t>
      </w:r>
    </w:p>
    <w:p>
      <w:pPr>
        <w:spacing w:line="360" w:lineRule="auto"/>
        <w:rPr>
          <w:rFonts w:hint="eastAsia"/>
          <w:szCs w:val="21"/>
          <w:lang w:val="en-US" w:eastAsia="zh-CN"/>
        </w:rPr>
      </w:pPr>
      <w:r>
        <w:rPr>
          <w:rFonts w:hint="eastAsia"/>
          <w:szCs w:val="21"/>
          <w:lang w:val="en-US" w:eastAsia="zh-CN"/>
        </w:rPr>
        <w:t>第五章：中新FTA贸易效应的实证分析</w:t>
      </w:r>
    </w:p>
    <w:p>
      <w:pPr>
        <w:spacing w:line="360" w:lineRule="auto"/>
        <w:rPr>
          <w:rFonts w:hint="eastAsia"/>
          <w:szCs w:val="21"/>
          <w:lang w:val="en-US" w:eastAsia="zh-CN"/>
        </w:rPr>
      </w:pPr>
      <w:r>
        <w:rPr>
          <w:rFonts w:hint="eastAsia"/>
          <w:szCs w:val="21"/>
          <w:lang w:val="en-US" w:eastAsia="zh-CN"/>
        </w:rPr>
        <w:t>5.1模型选取和数据说明</w:t>
      </w:r>
    </w:p>
    <w:p>
      <w:pPr>
        <w:spacing w:line="360" w:lineRule="auto"/>
        <w:ind w:firstLine="210" w:firstLineChars="100"/>
        <w:rPr>
          <w:rFonts w:hint="eastAsia" w:eastAsia="宋体"/>
          <w:szCs w:val="21"/>
          <w:lang w:val="en-US" w:eastAsia="zh-CN"/>
        </w:rPr>
      </w:pPr>
      <w:r>
        <w:rPr>
          <w:rFonts w:hint="eastAsia"/>
          <w:szCs w:val="21"/>
          <w:lang w:val="en-US" w:eastAsia="zh-CN"/>
        </w:rPr>
        <w:t>5.1.1数据选取与说明</w:t>
      </w:r>
    </w:p>
    <w:p>
      <w:pPr>
        <w:spacing w:line="360" w:lineRule="auto"/>
        <w:ind w:firstLine="210" w:firstLineChars="100"/>
        <w:rPr>
          <w:szCs w:val="21"/>
        </w:rPr>
      </w:pPr>
      <w:r>
        <w:rPr>
          <w:rFonts w:hint="eastAsia"/>
          <w:szCs w:val="21"/>
          <w:lang w:val="en-US" w:eastAsia="zh-CN"/>
        </w:rPr>
        <w:t>5.1.2模型设定与估计</w:t>
      </w:r>
    </w:p>
    <w:p>
      <w:pPr>
        <w:spacing w:line="360" w:lineRule="auto"/>
        <w:rPr>
          <w:rFonts w:hint="eastAsia"/>
          <w:szCs w:val="21"/>
          <w:lang w:val="en-US" w:eastAsia="zh-CN"/>
        </w:rPr>
      </w:pPr>
      <w:r>
        <w:rPr>
          <w:rFonts w:hint="eastAsia"/>
          <w:szCs w:val="21"/>
          <w:lang w:val="en-US" w:eastAsia="zh-CN"/>
        </w:rPr>
        <w:t>5.2宏观模型估计和检验</w:t>
      </w:r>
    </w:p>
    <w:p>
      <w:pPr>
        <w:spacing w:line="360" w:lineRule="auto"/>
        <w:ind w:firstLine="420" w:firstLineChars="200"/>
        <w:rPr>
          <w:rFonts w:hint="eastAsia"/>
          <w:szCs w:val="21"/>
          <w:lang w:val="en-US" w:eastAsia="zh-CN"/>
        </w:rPr>
      </w:pPr>
      <w:r>
        <w:rPr>
          <w:rFonts w:hint="eastAsia"/>
          <w:szCs w:val="21"/>
          <w:lang w:val="en-US" w:eastAsia="zh-CN"/>
        </w:rPr>
        <w:t>5.2.1回归结果分析</w:t>
      </w:r>
    </w:p>
    <w:p>
      <w:pPr>
        <w:spacing w:line="360" w:lineRule="auto"/>
        <w:rPr>
          <w:rFonts w:hint="eastAsia"/>
          <w:szCs w:val="21"/>
          <w:lang w:val="en-US" w:eastAsia="zh-CN"/>
        </w:rPr>
      </w:pPr>
      <w:r>
        <w:rPr>
          <w:rFonts w:hint="eastAsia"/>
          <w:szCs w:val="21"/>
          <w:lang w:val="en-US" w:eastAsia="zh-CN"/>
        </w:rPr>
        <w:t>5.4微观模型估计和检验</w:t>
      </w:r>
    </w:p>
    <w:p>
      <w:pPr>
        <w:spacing w:line="360" w:lineRule="auto"/>
        <w:ind w:firstLine="525" w:firstLineChars="250"/>
        <w:rPr>
          <w:rFonts w:hint="eastAsia"/>
          <w:szCs w:val="21"/>
          <w:lang w:val="en-US" w:eastAsia="zh-CN"/>
        </w:rPr>
      </w:pPr>
      <w:r>
        <w:rPr>
          <w:rFonts w:hint="eastAsia"/>
          <w:szCs w:val="21"/>
          <w:lang w:val="en-US" w:eastAsia="zh-CN"/>
        </w:rPr>
        <w:t>5.2.1微观产业数据选取及说明</w:t>
      </w:r>
    </w:p>
    <w:p>
      <w:pPr>
        <w:spacing w:line="360" w:lineRule="auto"/>
        <w:ind w:firstLine="525" w:firstLineChars="250"/>
        <w:rPr>
          <w:rFonts w:hint="eastAsia"/>
          <w:szCs w:val="21"/>
          <w:lang w:val="en-US" w:eastAsia="zh-CN"/>
        </w:rPr>
      </w:pPr>
      <w:r>
        <w:rPr>
          <w:rFonts w:hint="eastAsia"/>
          <w:szCs w:val="21"/>
          <w:lang w:val="en-US" w:eastAsia="zh-CN"/>
        </w:rPr>
        <w:t>5.2.2回归结果分析</w:t>
      </w:r>
    </w:p>
    <w:p>
      <w:pPr>
        <w:spacing w:line="360" w:lineRule="auto"/>
        <w:rPr>
          <w:rFonts w:hint="eastAsia"/>
          <w:szCs w:val="21"/>
          <w:lang w:val="en-US" w:eastAsia="zh-CN"/>
        </w:rPr>
      </w:pPr>
      <w:r>
        <w:rPr>
          <w:rFonts w:hint="eastAsia"/>
          <w:szCs w:val="21"/>
          <w:lang w:val="en-US" w:eastAsia="zh-CN"/>
        </w:rPr>
        <w:t>第六章：结论</w:t>
      </w:r>
    </w:p>
    <w:p>
      <w:pPr>
        <w:spacing w:line="360" w:lineRule="auto"/>
        <w:rPr>
          <w:rFonts w:hint="eastAsia"/>
          <w:szCs w:val="21"/>
          <w:lang w:val="en-US" w:eastAsia="zh-CN"/>
        </w:rPr>
      </w:pPr>
      <w:r>
        <w:rPr>
          <w:rFonts w:hint="eastAsia"/>
          <w:szCs w:val="21"/>
          <w:lang w:val="en-US" w:eastAsia="zh-CN"/>
        </w:rPr>
        <w:t>6.1结论</w:t>
      </w:r>
    </w:p>
    <w:p>
      <w:pPr>
        <w:spacing w:line="360" w:lineRule="auto"/>
        <w:rPr>
          <w:rFonts w:hint="eastAsia"/>
          <w:szCs w:val="21"/>
          <w:lang w:val="en-US" w:eastAsia="zh-CN"/>
        </w:rPr>
      </w:pPr>
      <w:r>
        <w:rPr>
          <w:rFonts w:hint="eastAsia"/>
          <w:szCs w:val="21"/>
          <w:lang w:val="en-US" w:eastAsia="zh-CN"/>
        </w:rPr>
        <w:t>6.2促进中新FTA发展的对策及建议</w:t>
      </w:r>
    </w:p>
    <w:p>
      <w:pPr>
        <w:spacing w:line="360" w:lineRule="auto"/>
        <w:rPr>
          <w:rFonts w:hint="eastAsia"/>
          <w:szCs w:val="21"/>
          <w:lang w:val="en-US" w:eastAsia="zh-CN"/>
        </w:rPr>
      </w:pPr>
      <w:r>
        <w:rPr>
          <w:rFonts w:hint="eastAsia"/>
          <w:szCs w:val="21"/>
          <w:lang w:val="en-US" w:eastAsia="zh-CN"/>
        </w:rPr>
        <w:t>参考文献</w:t>
      </w:r>
    </w:p>
    <w:p>
      <w:pPr>
        <w:spacing w:line="360" w:lineRule="auto"/>
        <w:rPr>
          <w:rFonts w:hint="eastAsia"/>
          <w:szCs w:val="21"/>
          <w:lang w:eastAsia="zh-CN"/>
        </w:rPr>
      </w:pPr>
      <w:r>
        <w:rPr>
          <w:rFonts w:hint="eastAsia"/>
          <w:szCs w:val="21"/>
          <w:lang w:eastAsia="zh-CN"/>
        </w:rPr>
        <w:t>（</w:t>
      </w:r>
      <w:r>
        <w:rPr>
          <w:rFonts w:hint="eastAsia"/>
          <w:szCs w:val="21"/>
          <w:lang w:val="en-US" w:eastAsia="zh-CN"/>
        </w:rPr>
        <w:t>三</w:t>
      </w:r>
      <w:r>
        <w:rPr>
          <w:rFonts w:hint="eastAsia"/>
          <w:szCs w:val="21"/>
          <w:lang w:eastAsia="zh-CN"/>
        </w:rPr>
        <w:t>）研究方法</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textAlignment w:val="auto"/>
        <w:rPr>
          <w:rFonts w:hint="eastAsia"/>
          <w:szCs w:val="21"/>
        </w:rPr>
      </w:pPr>
      <w:r>
        <w:rPr>
          <w:rFonts w:hint="eastAsia"/>
          <w:szCs w:val="21"/>
          <w:lang w:val="en-US" w:eastAsia="zh-CN"/>
        </w:rPr>
        <w:t>1、Tinbergen（1962）提出的引力模型长期以来一直是衡量区域贸易协定贸易影响的最主要方法。最简单形式的重力模型假定两国之间的贸易取决于它们之间的距离和国家经济的规模。然后，通过为每一区域贸易协定包括虚拟变量来衡量区域协定的效果。因此，本文以</w:t>
      </w:r>
      <w:r>
        <w:rPr>
          <w:rFonts w:hint="eastAsia"/>
          <w:szCs w:val="21"/>
        </w:rPr>
        <w:t>引力模型</w:t>
      </w:r>
      <w:r>
        <w:rPr>
          <w:rFonts w:hint="eastAsia"/>
          <w:szCs w:val="21"/>
          <w:lang w:val="en-US" w:eastAsia="zh-CN"/>
        </w:rPr>
        <w:t>为基础，通过多国模型设置虚拟变量分析中国—新加坡</w:t>
      </w:r>
      <w:r>
        <w:rPr>
          <w:rFonts w:hint="eastAsia"/>
          <w:szCs w:val="21"/>
        </w:rPr>
        <w:t>FTA的贸易效应。取对数后的</w:t>
      </w:r>
      <w:r>
        <w:rPr>
          <w:rFonts w:hint="eastAsia"/>
          <w:szCs w:val="21"/>
          <w:lang w:val="en-US" w:eastAsia="zh-CN"/>
        </w:rPr>
        <w:t>拓展</w:t>
      </w:r>
      <w:r>
        <w:rPr>
          <w:rFonts w:hint="eastAsia"/>
          <w:szCs w:val="21"/>
        </w:rPr>
        <w:t>引力模型形式如下：</w:t>
      </w:r>
    </w:p>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Chars="200" w:right="0" w:rightChars="0"/>
        <w:jc w:val="center"/>
        <w:textAlignment w:val="auto"/>
        <w:outlineLvl w:val="9"/>
        <w:rPr>
          <w:rFonts w:hint="eastAsia" w:ascii="宋体" w:hAnsi="宋体" w:eastAsia="宋体" w:cs="宋体"/>
          <w:color w:val="auto"/>
          <w:kern w:val="2"/>
          <w:sz w:val="18"/>
          <w:szCs w:val="18"/>
          <w:lang w:val="en-US" w:eastAsia="zh-CN" w:bidi="ar-SA"/>
        </w:rPr>
      </w:pPr>
      <w:r>
        <w:rPr>
          <w:rFonts w:hint="eastAsia" w:ascii="Times New Roman" w:hAnsi="Times New Roman" w:eastAsia="宋体" w:cs="Times New Roman"/>
          <w:color w:val="auto"/>
          <w:kern w:val="2"/>
          <w:position w:val="-34"/>
          <w:sz w:val="21"/>
          <w:szCs w:val="21"/>
          <w:lang w:val="en-US" w:eastAsia="zh-CN" w:bidi="ar-SA"/>
        </w:rPr>
        <w:object>
          <v:shape id="_x0000_i1025" o:spt="75" type="#_x0000_t75" style="height:41.8pt;width:395.75pt;" o:ole="t" filled="f" o:preferrelative="t" stroked="f" coordsize="21600,21600">
            <v:path/>
            <v:fill on="f" focussize="0,0"/>
            <v:stroke on="f"/>
            <v:imagedata r:id="rId6" o:title=""/>
            <o:lock v:ext="edit" aspectratio="t"/>
            <w10:wrap type="none"/>
            <w10:anchorlock/>
          </v:shape>
          <o:OLEObject Type="Embed" ProgID="Equation.KSEE3" ShapeID="_x0000_i1025" DrawAspect="Content" ObjectID="_1468075725" r:id="rId5">
            <o:LockedField>false</o:LockedField>
          </o:OLEObject>
        </w:object>
      </w:r>
      <w:r>
        <w:rPr>
          <w:rFonts w:hint="eastAsia" w:ascii="宋体" w:hAnsi="宋体" w:eastAsia="宋体" w:cs="宋体"/>
          <w:color w:val="auto"/>
          <w:kern w:val="2"/>
          <w:position w:val="-14"/>
          <w:sz w:val="18"/>
          <w:szCs w:val="18"/>
          <w:lang w:val="en-US" w:eastAsia="zh-CN" w:bidi="ar-SA"/>
        </w:rPr>
        <w:t>模型1的变量解释</w:t>
      </w:r>
    </w:p>
    <w:tbl>
      <w:tblPr>
        <w:tblStyle w:val="7"/>
        <w:tblW w:w="8648" w:type="dxa"/>
        <w:tblInd w:w="12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5"/>
        <w:gridCol w:w="1497"/>
        <w:gridCol w:w="2911"/>
        <w:gridCol w:w="1033"/>
        <w:gridCol w:w="20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6" w:hRule="atLeast"/>
        </w:trPr>
        <w:tc>
          <w:tcPr>
            <w:tcW w:w="1185" w:type="dxa"/>
            <w:tcBorders>
              <w:top w:val="single" w:color="auto" w:sz="4" w:space="0"/>
              <w:left w:val="nil"/>
              <w:bottom w:val="single" w:color="auto"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00" w:lineRule="auto"/>
              <w:ind w:left="0" w:leftChars="0" w:right="0" w:rightChars="0" w:firstLine="360" w:firstLineChars="200"/>
              <w:jc w:val="both"/>
              <w:textAlignment w:val="auto"/>
              <w:outlineLvl w:val="9"/>
              <w:rPr>
                <w:rFonts w:hint="eastAsia" w:ascii="宋体" w:hAnsi="宋体" w:eastAsia="宋体" w:cs="宋体"/>
                <w:b w:val="0"/>
                <w:bCs/>
                <w:color w:val="auto"/>
                <w:sz w:val="18"/>
                <w:szCs w:val="18"/>
                <w:lang w:val="en-US" w:eastAsia="zh-CN"/>
              </w:rPr>
            </w:pPr>
          </w:p>
        </w:tc>
        <w:tc>
          <w:tcPr>
            <w:tcW w:w="1497"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right="0" w:rightChars="0"/>
              <w:jc w:val="both"/>
              <w:textAlignment w:val="auto"/>
              <w:outlineLvl w:val="9"/>
              <w:rPr>
                <w:rFonts w:hint="eastAsia" w:ascii="宋体" w:hAnsi="宋体" w:eastAsia="宋体" w:cs="宋体"/>
                <w:color w:val="auto"/>
                <w:kern w:val="2"/>
                <w:sz w:val="18"/>
                <w:szCs w:val="18"/>
                <w:vertAlign w:val="baseline"/>
                <w:lang w:val="en-US" w:eastAsia="zh-CN" w:bidi="ar-SA"/>
              </w:rPr>
            </w:pPr>
            <w:r>
              <w:rPr>
                <w:rFonts w:hint="eastAsia" w:ascii="宋体" w:hAnsi="宋体" w:eastAsia="宋体" w:cs="宋体"/>
                <w:color w:val="auto"/>
                <w:kern w:val="2"/>
                <w:sz w:val="18"/>
                <w:szCs w:val="18"/>
                <w:vertAlign w:val="baseline"/>
                <w:lang w:val="en-US" w:eastAsia="zh-CN" w:bidi="ar-SA"/>
              </w:rPr>
              <w:t>变量</w:t>
            </w:r>
          </w:p>
        </w:tc>
        <w:tc>
          <w:tcPr>
            <w:tcW w:w="2911"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right="0" w:rightChars="0"/>
              <w:jc w:val="both"/>
              <w:textAlignment w:val="auto"/>
              <w:outlineLvl w:val="9"/>
              <w:rPr>
                <w:rFonts w:hint="eastAsia" w:ascii="宋体" w:hAnsi="宋体" w:eastAsia="宋体" w:cs="宋体"/>
                <w:color w:val="auto"/>
                <w:kern w:val="2"/>
                <w:sz w:val="18"/>
                <w:szCs w:val="18"/>
                <w:vertAlign w:val="baseline"/>
                <w:lang w:val="en-US" w:eastAsia="zh-CN" w:bidi="ar-SA"/>
              </w:rPr>
            </w:pPr>
            <w:r>
              <w:rPr>
                <w:rFonts w:hint="eastAsia" w:ascii="宋体" w:hAnsi="宋体" w:eastAsia="宋体" w:cs="宋体"/>
                <w:color w:val="auto"/>
                <w:kern w:val="2"/>
                <w:sz w:val="18"/>
                <w:szCs w:val="18"/>
                <w:vertAlign w:val="baseline"/>
                <w:lang w:val="en-US" w:eastAsia="zh-CN" w:bidi="ar-SA"/>
              </w:rPr>
              <w:t>变量含义</w:t>
            </w:r>
          </w:p>
        </w:tc>
        <w:tc>
          <w:tcPr>
            <w:tcW w:w="1033"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right="0" w:rightChars="0"/>
              <w:jc w:val="both"/>
              <w:textAlignment w:val="auto"/>
              <w:outlineLvl w:val="9"/>
              <w:rPr>
                <w:rFonts w:hint="eastAsia" w:ascii="宋体" w:hAnsi="宋体" w:eastAsia="宋体" w:cs="宋体"/>
                <w:color w:val="auto"/>
                <w:kern w:val="2"/>
                <w:sz w:val="18"/>
                <w:szCs w:val="18"/>
                <w:vertAlign w:val="baseline"/>
                <w:lang w:val="en-US" w:eastAsia="zh-CN" w:bidi="ar-SA"/>
              </w:rPr>
            </w:pPr>
            <w:r>
              <w:rPr>
                <w:rFonts w:hint="eastAsia" w:ascii="宋体" w:hAnsi="宋体" w:eastAsia="宋体" w:cs="宋体"/>
                <w:color w:val="auto"/>
                <w:kern w:val="2"/>
                <w:sz w:val="18"/>
                <w:szCs w:val="18"/>
                <w:vertAlign w:val="baseline"/>
                <w:lang w:val="en-US" w:eastAsia="zh-CN" w:bidi="ar-SA"/>
              </w:rPr>
              <w:t>预期符号</w:t>
            </w:r>
          </w:p>
        </w:tc>
        <w:tc>
          <w:tcPr>
            <w:tcW w:w="2022" w:type="dxa"/>
            <w:tcBorders>
              <w:top w:val="single" w:color="auto" w:sz="4" w:space="0"/>
              <w:left w:val="single" w:color="auto" w:sz="4" w:space="0"/>
              <w:bottom w:val="single" w:color="auto" w:sz="4" w:space="0"/>
              <w:right w:val="nil"/>
            </w:tcBorders>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right="0" w:rightChars="0"/>
              <w:jc w:val="both"/>
              <w:textAlignment w:val="auto"/>
              <w:outlineLvl w:val="9"/>
              <w:rPr>
                <w:rFonts w:hint="eastAsia" w:ascii="宋体" w:hAnsi="宋体" w:eastAsia="宋体" w:cs="宋体"/>
                <w:color w:val="auto"/>
                <w:kern w:val="2"/>
                <w:sz w:val="18"/>
                <w:szCs w:val="18"/>
                <w:vertAlign w:val="baseline"/>
                <w:lang w:val="en-US" w:eastAsia="zh-CN" w:bidi="ar-SA"/>
              </w:rPr>
            </w:pPr>
            <w:r>
              <w:rPr>
                <w:rFonts w:hint="eastAsia" w:ascii="宋体" w:hAnsi="宋体" w:eastAsia="宋体" w:cs="宋体"/>
                <w:color w:val="auto"/>
                <w:kern w:val="2"/>
                <w:sz w:val="18"/>
                <w:szCs w:val="18"/>
                <w:vertAlign w:val="baseline"/>
                <w:lang w:val="en-US" w:eastAsia="zh-CN" w:bidi="ar-SA"/>
              </w:rPr>
              <w:t>理论解释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1" w:hRule="atLeast"/>
        </w:trPr>
        <w:tc>
          <w:tcPr>
            <w:tcW w:w="1185" w:type="dxa"/>
            <w:tcBorders>
              <w:top w:val="single" w:color="auto" w:sz="4" w:space="0"/>
              <w:left w:val="nil"/>
              <w:bottom w:val="single" w:color="auto" w:sz="4" w:space="0"/>
              <w:right w:val="single" w:color="auto" w:sz="4" w:space="0"/>
            </w:tcBorders>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right="0" w:rightChars="0"/>
              <w:jc w:val="both"/>
              <w:textAlignment w:val="auto"/>
              <w:outlineLvl w:val="9"/>
              <w:rPr>
                <w:rFonts w:hint="eastAsia" w:ascii="宋体" w:hAnsi="宋体" w:eastAsia="宋体" w:cs="宋体"/>
                <w:color w:val="auto"/>
                <w:kern w:val="2"/>
                <w:sz w:val="18"/>
                <w:szCs w:val="18"/>
                <w:vertAlign w:val="baseline"/>
                <w:lang w:val="en-US" w:eastAsia="zh-CN" w:bidi="ar-SA"/>
              </w:rPr>
            </w:pPr>
            <w:r>
              <w:rPr>
                <w:rFonts w:hint="eastAsia" w:ascii="宋体" w:hAnsi="宋体" w:eastAsia="宋体" w:cs="宋体"/>
                <w:color w:val="auto"/>
                <w:kern w:val="2"/>
                <w:sz w:val="18"/>
                <w:szCs w:val="18"/>
                <w:vertAlign w:val="baseline"/>
                <w:lang w:val="en-US" w:eastAsia="zh-CN" w:bidi="ar-SA"/>
              </w:rPr>
              <w:t>被解释变量</w:t>
            </w:r>
          </w:p>
        </w:tc>
        <w:tc>
          <w:tcPr>
            <w:tcW w:w="1497"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right="0" w:rightChars="0"/>
              <w:jc w:val="both"/>
              <w:textAlignment w:val="auto"/>
              <w:outlineLvl w:val="9"/>
              <w:rPr>
                <w:rFonts w:hint="eastAsia" w:ascii="宋体" w:hAnsi="宋体" w:eastAsia="宋体" w:cs="宋体"/>
                <w:color w:val="auto"/>
                <w:kern w:val="2"/>
                <w:sz w:val="18"/>
                <w:szCs w:val="18"/>
                <w:vertAlign w:val="baseline"/>
                <w:lang w:val="en-US" w:eastAsia="zh-CN" w:bidi="ar-SA"/>
              </w:rPr>
            </w:pPr>
            <w:r>
              <w:rPr>
                <w:rFonts w:hint="eastAsia" w:ascii="宋体" w:hAnsi="宋体" w:eastAsia="宋体" w:cs="宋体"/>
                <w:color w:val="auto"/>
                <w:kern w:val="2"/>
                <w:position w:val="-14"/>
                <w:sz w:val="18"/>
                <w:szCs w:val="18"/>
                <w:vertAlign w:val="baseline"/>
                <w:lang w:val="en-US" w:eastAsia="zh-CN" w:bidi="ar-SA"/>
              </w:rPr>
              <w:object>
                <v:shape id="_x0000_i1026" o:spt="75" type="#_x0000_t75" style="height:19pt;width:20pt;" o:ole="t" filled="f" o:preferrelative="t" stroked="f" coordsize="21600,21600">
                  <v:path/>
                  <v:fill on="f" focussize="0,0"/>
                  <v:stroke on="f"/>
                  <v:imagedata r:id="rId8" o:title=""/>
                  <o:lock v:ext="edit" aspectratio="t"/>
                  <w10:wrap type="none"/>
                  <w10:anchorlock/>
                </v:shape>
                <o:OLEObject Type="Embed" ProgID="Equation.KSEE3" ShapeID="_x0000_i1026" DrawAspect="Content" ObjectID="_1468075726" r:id="rId7">
                  <o:LockedField>false</o:LockedField>
                </o:OLEObject>
              </w:object>
            </w:r>
          </w:p>
        </w:tc>
        <w:tc>
          <w:tcPr>
            <w:tcW w:w="2911"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right="0" w:rightChars="0"/>
              <w:jc w:val="both"/>
              <w:textAlignment w:val="auto"/>
              <w:outlineLvl w:val="9"/>
              <w:rPr>
                <w:rFonts w:hint="eastAsia" w:ascii="宋体" w:hAnsi="宋体" w:eastAsia="宋体" w:cs="宋体"/>
                <w:color w:val="auto"/>
                <w:kern w:val="2"/>
                <w:sz w:val="18"/>
                <w:szCs w:val="18"/>
                <w:vertAlign w:val="baseline"/>
                <w:lang w:val="en-US" w:eastAsia="zh-CN" w:bidi="ar-SA"/>
              </w:rPr>
            </w:pPr>
            <w:r>
              <w:rPr>
                <w:rFonts w:hint="eastAsia" w:ascii="宋体" w:hAnsi="宋体" w:eastAsia="宋体" w:cs="宋体"/>
                <w:color w:val="auto"/>
                <w:kern w:val="2"/>
                <w:sz w:val="18"/>
                <w:szCs w:val="18"/>
                <w:vertAlign w:val="baseline"/>
                <w:lang w:val="en-US" w:eastAsia="zh-CN" w:bidi="ar-SA"/>
              </w:rPr>
              <w:t>出口国i对进口过j在t时期以美元计价的实际出口额</w:t>
            </w:r>
          </w:p>
        </w:tc>
        <w:tc>
          <w:tcPr>
            <w:tcW w:w="1033"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right="0" w:rightChars="0"/>
              <w:jc w:val="both"/>
              <w:textAlignment w:val="auto"/>
              <w:outlineLvl w:val="9"/>
              <w:rPr>
                <w:rFonts w:hint="eastAsia" w:ascii="宋体" w:hAnsi="宋体" w:eastAsia="宋体" w:cs="宋体"/>
                <w:color w:val="auto"/>
                <w:kern w:val="2"/>
                <w:sz w:val="18"/>
                <w:szCs w:val="18"/>
                <w:vertAlign w:val="baseline"/>
                <w:lang w:val="en-US" w:eastAsia="zh-CN" w:bidi="ar-SA"/>
              </w:rPr>
            </w:pPr>
          </w:p>
        </w:tc>
        <w:tc>
          <w:tcPr>
            <w:tcW w:w="2022" w:type="dxa"/>
            <w:tcBorders>
              <w:top w:val="single" w:color="auto" w:sz="4" w:space="0"/>
              <w:left w:val="single" w:color="auto" w:sz="4" w:space="0"/>
              <w:bottom w:val="single" w:color="auto" w:sz="4" w:space="0"/>
              <w:right w:val="nil"/>
            </w:tcBorders>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right="0" w:rightChars="0"/>
              <w:jc w:val="both"/>
              <w:textAlignment w:val="auto"/>
              <w:outlineLvl w:val="9"/>
              <w:rPr>
                <w:rFonts w:hint="eastAsia" w:ascii="宋体" w:hAnsi="宋体" w:eastAsia="宋体" w:cs="宋体"/>
                <w:color w:val="auto"/>
                <w:kern w:val="2"/>
                <w:sz w:val="18"/>
                <w:szCs w:val="18"/>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1" w:hRule="atLeast"/>
        </w:trPr>
        <w:tc>
          <w:tcPr>
            <w:tcW w:w="1185" w:type="dxa"/>
            <w:tcBorders>
              <w:top w:val="single" w:color="auto" w:sz="4" w:space="0"/>
              <w:left w:val="nil"/>
              <w:bottom w:val="single" w:color="auto" w:sz="4" w:space="0"/>
              <w:right w:val="single" w:color="auto" w:sz="4" w:space="0"/>
            </w:tcBorders>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right="0" w:rightChars="0"/>
              <w:jc w:val="both"/>
              <w:textAlignment w:val="auto"/>
              <w:outlineLvl w:val="9"/>
              <w:rPr>
                <w:rFonts w:hint="eastAsia" w:ascii="宋体" w:hAnsi="宋体" w:eastAsia="宋体" w:cs="宋体"/>
                <w:color w:val="auto"/>
                <w:kern w:val="2"/>
                <w:sz w:val="18"/>
                <w:szCs w:val="18"/>
                <w:vertAlign w:val="baseline"/>
                <w:lang w:val="en-US" w:eastAsia="zh-CN" w:bidi="ar-SA"/>
              </w:rPr>
            </w:pPr>
            <w:r>
              <w:rPr>
                <w:rFonts w:hint="eastAsia" w:ascii="宋体" w:hAnsi="宋体" w:eastAsia="宋体" w:cs="宋体"/>
                <w:color w:val="auto"/>
                <w:kern w:val="2"/>
                <w:sz w:val="18"/>
                <w:szCs w:val="18"/>
                <w:vertAlign w:val="baseline"/>
                <w:lang w:val="en-US" w:eastAsia="zh-CN" w:bidi="ar-SA"/>
              </w:rPr>
              <w:t>解释变量</w:t>
            </w:r>
          </w:p>
        </w:tc>
        <w:tc>
          <w:tcPr>
            <w:tcW w:w="1497"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right="0" w:rightChars="0"/>
              <w:jc w:val="both"/>
              <w:textAlignment w:val="auto"/>
              <w:outlineLvl w:val="9"/>
              <w:rPr>
                <w:rFonts w:hint="eastAsia" w:ascii="宋体" w:hAnsi="宋体" w:eastAsia="宋体" w:cs="宋体"/>
                <w:color w:val="auto"/>
                <w:kern w:val="2"/>
                <w:sz w:val="18"/>
                <w:szCs w:val="18"/>
                <w:vertAlign w:val="baseline"/>
                <w:lang w:val="en-US" w:eastAsia="zh-CN" w:bidi="ar-SA"/>
              </w:rPr>
            </w:pPr>
            <w:r>
              <w:rPr>
                <w:rFonts w:hint="eastAsia" w:ascii="Times New Roman" w:hAnsi="Times New Roman" w:eastAsia="宋体" w:cs="Times New Roman"/>
                <w:color w:val="auto"/>
                <w:kern w:val="2"/>
                <w:position w:val="-14"/>
                <w:sz w:val="21"/>
                <w:szCs w:val="21"/>
                <w:lang w:val="en-US" w:eastAsia="zh-CN" w:bidi="ar-SA"/>
              </w:rPr>
              <w:object>
                <v:shape id="_x0000_i1027" o:spt="75" type="#_x0000_t75" style="height:19.9pt;width:61.8pt;" o:ole="t" filled="f" o:preferrelative="t" stroked="f" coordsize="21600,21600">
                  <v:path/>
                  <v:fill on="f" focussize="0,0"/>
                  <v:stroke on="f"/>
                  <v:imagedata r:id="rId10" o:title=""/>
                  <o:lock v:ext="edit" aspectratio="t"/>
                  <w10:wrap type="none"/>
                  <w10:anchorlock/>
                </v:shape>
                <o:OLEObject Type="Embed" ProgID="Equation.KSEE3" ShapeID="_x0000_i1027" DrawAspect="Content" ObjectID="_1468075727" r:id="rId9">
                  <o:LockedField>false</o:LockedField>
                </o:OLEObject>
              </w:object>
            </w:r>
          </w:p>
        </w:tc>
        <w:tc>
          <w:tcPr>
            <w:tcW w:w="2911"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right="0" w:rightChars="0"/>
              <w:jc w:val="both"/>
              <w:textAlignment w:val="auto"/>
              <w:outlineLvl w:val="9"/>
              <w:rPr>
                <w:rFonts w:hint="eastAsia" w:ascii="宋体" w:hAnsi="宋体" w:eastAsia="宋体" w:cs="宋体"/>
                <w:color w:val="auto"/>
                <w:kern w:val="2"/>
                <w:sz w:val="18"/>
                <w:szCs w:val="18"/>
                <w:vertAlign w:val="baseline"/>
                <w:lang w:val="en-US" w:eastAsia="zh-CN" w:bidi="ar-SA"/>
              </w:rPr>
            </w:pPr>
            <w:r>
              <w:rPr>
                <w:rFonts w:hint="eastAsia" w:ascii="宋体" w:hAnsi="宋体" w:eastAsia="宋体" w:cs="宋体"/>
                <w:color w:val="auto"/>
                <w:kern w:val="2"/>
                <w:sz w:val="18"/>
                <w:szCs w:val="18"/>
                <w:vertAlign w:val="baseline"/>
                <w:lang w:val="en-US" w:eastAsia="zh-CN" w:bidi="ar-SA"/>
              </w:rPr>
              <w:t>i、j两国在t时期的实际GDP之和</w:t>
            </w:r>
          </w:p>
        </w:tc>
        <w:tc>
          <w:tcPr>
            <w:tcW w:w="1033"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right="0" w:rightChars="0"/>
              <w:jc w:val="both"/>
              <w:textAlignment w:val="auto"/>
              <w:outlineLvl w:val="9"/>
              <w:rPr>
                <w:rFonts w:hint="eastAsia" w:ascii="宋体" w:hAnsi="宋体" w:eastAsia="宋体" w:cs="宋体"/>
                <w:color w:val="auto"/>
                <w:kern w:val="2"/>
                <w:sz w:val="18"/>
                <w:szCs w:val="18"/>
                <w:vertAlign w:val="baseline"/>
                <w:lang w:val="en-US" w:eastAsia="zh-CN" w:bidi="ar-SA"/>
              </w:rPr>
            </w:pPr>
            <w:r>
              <w:rPr>
                <w:rFonts w:hint="eastAsia" w:ascii="宋体" w:hAnsi="宋体" w:eastAsia="宋体" w:cs="宋体"/>
                <w:color w:val="auto"/>
                <w:kern w:val="2"/>
                <w:sz w:val="18"/>
                <w:szCs w:val="18"/>
                <w:vertAlign w:val="baseline"/>
                <w:lang w:val="en-US" w:eastAsia="zh-CN" w:bidi="ar-SA"/>
              </w:rPr>
              <w:t>+</w:t>
            </w:r>
          </w:p>
        </w:tc>
        <w:tc>
          <w:tcPr>
            <w:tcW w:w="2022" w:type="dxa"/>
            <w:tcBorders>
              <w:top w:val="single" w:color="auto" w:sz="4" w:space="0"/>
              <w:left w:val="single" w:color="auto" w:sz="4" w:space="0"/>
              <w:bottom w:val="single" w:color="auto" w:sz="4" w:space="0"/>
              <w:right w:val="nil"/>
            </w:tcBorders>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right="0" w:rightChars="0"/>
              <w:jc w:val="both"/>
              <w:textAlignment w:val="auto"/>
              <w:outlineLvl w:val="9"/>
              <w:rPr>
                <w:rFonts w:hint="eastAsia" w:ascii="宋体" w:hAnsi="宋体" w:eastAsia="宋体" w:cs="宋体"/>
                <w:color w:val="auto"/>
                <w:kern w:val="2"/>
                <w:sz w:val="18"/>
                <w:szCs w:val="18"/>
                <w:vertAlign w:val="baseline"/>
                <w:lang w:val="en-US" w:eastAsia="zh-CN" w:bidi="ar-SA"/>
              </w:rPr>
            </w:pPr>
            <w:r>
              <w:rPr>
                <w:rFonts w:hint="eastAsia" w:ascii="宋体" w:hAnsi="宋体" w:eastAsia="宋体" w:cs="宋体"/>
                <w:color w:val="auto"/>
                <w:kern w:val="2"/>
                <w:sz w:val="18"/>
                <w:szCs w:val="18"/>
                <w:vertAlign w:val="baseline"/>
                <w:lang w:val="en-US" w:eastAsia="zh-CN" w:bidi="ar-SA"/>
              </w:rPr>
              <w:t>反映经济规模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1" w:hRule="atLeast"/>
        </w:trPr>
        <w:tc>
          <w:tcPr>
            <w:tcW w:w="1185" w:type="dxa"/>
            <w:tcBorders>
              <w:top w:val="single" w:color="auto" w:sz="4" w:space="0"/>
              <w:left w:val="nil"/>
              <w:bottom w:val="single" w:color="auto" w:sz="4" w:space="0"/>
              <w:right w:val="single" w:color="auto" w:sz="4" w:space="0"/>
            </w:tcBorders>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right="0" w:rightChars="0"/>
              <w:jc w:val="both"/>
              <w:textAlignment w:val="auto"/>
              <w:outlineLvl w:val="9"/>
              <w:rPr>
                <w:rFonts w:hint="eastAsia" w:ascii="宋体" w:hAnsi="宋体" w:eastAsia="宋体" w:cs="宋体"/>
                <w:color w:val="auto"/>
                <w:kern w:val="2"/>
                <w:sz w:val="18"/>
                <w:szCs w:val="18"/>
                <w:vertAlign w:val="baseline"/>
                <w:lang w:val="en-US" w:eastAsia="zh-CN" w:bidi="ar-SA"/>
              </w:rPr>
            </w:pPr>
          </w:p>
        </w:tc>
        <w:tc>
          <w:tcPr>
            <w:tcW w:w="1497"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right="0" w:rightChars="0"/>
              <w:jc w:val="both"/>
              <w:textAlignment w:val="auto"/>
              <w:outlineLvl w:val="9"/>
              <w:rPr>
                <w:rFonts w:hint="eastAsia" w:ascii="宋体" w:hAnsi="宋体" w:eastAsia="宋体" w:cs="宋体"/>
                <w:color w:val="auto"/>
                <w:kern w:val="2"/>
                <w:sz w:val="18"/>
                <w:szCs w:val="18"/>
                <w:vertAlign w:val="baseline"/>
                <w:lang w:val="en-US" w:eastAsia="zh-CN" w:bidi="ar-SA"/>
              </w:rPr>
            </w:pPr>
            <w:r>
              <w:rPr>
                <w:rFonts w:hint="eastAsia" w:ascii="Times New Roman" w:hAnsi="Times New Roman" w:eastAsia="宋体" w:cs="Times New Roman"/>
                <w:color w:val="auto"/>
                <w:kern w:val="2"/>
                <w:position w:val="-14"/>
                <w:sz w:val="21"/>
                <w:szCs w:val="21"/>
                <w:lang w:val="en-US" w:eastAsia="zh-CN" w:bidi="ar-SA"/>
              </w:rPr>
              <w:object>
                <v:shape id="_x0000_i1028" o:spt="75" type="#_x0000_t75" style="height:19.9pt;width:59.7pt;" o:ole="t" filled="f" o:preferrelative="t" stroked="f" coordsize="21600,21600">
                  <v:path/>
                  <v:fill on="f" focussize="0,0"/>
                  <v:stroke on="f"/>
                  <v:imagedata r:id="rId12" o:title=""/>
                  <o:lock v:ext="edit" aspectratio="t"/>
                  <w10:wrap type="none"/>
                  <w10:anchorlock/>
                </v:shape>
                <o:OLEObject Type="Embed" ProgID="Equation.KSEE3" ShapeID="_x0000_i1028" DrawAspect="Content" ObjectID="_1468075728" r:id="rId11">
                  <o:LockedField>false</o:LockedField>
                </o:OLEObject>
              </w:object>
            </w:r>
          </w:p>
        </w:tc>
        <w:tc>
          <w:tcPr>
            <w:tcW w:w="2911"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right="0" w:rightChars="0"/>
              <w:jc w:val="both"/>
              <w:textAlignment w:val="auto"/>
              <w:outlineLvl w:val="9"/>
              <w:rPr>
                <w:rFonts w:hint="eastAsia" w:ascii="宋体" w:hAnsi="宋体" w:eastAsia="宋体" w:cs="宋体"/>
                <w:color w:val="auto"/>
                <w:kern w:val="2"/>
                <w:sz w:val="18"/>
                <w:szCs w:val="18"/>
                <w:vertAlign w:val="baseline"/>
                <w:lang w:val="en-US" w:eastAsia="zh-CN" w:bidi="ar-SA"/>
              </w:rPr>
            </w:pPr>
            <w:r>
              <w:rPr>
                <w:rFonts w:hint="eastAsia" w:ascii="宋体" w:hAnsi="宋体" w:eastAsia="宋体" w:cs="宋体"/>
                <w:color w:val="auto"/>
                <w:kern w:val="2"/>
                <w:sz w:val="18"/>
                <w:szCs w:val="18"/>
                <w:vertAlign w:val="baseline"/>
                <w:lang w:val="en-US" w:eastAsia="zh-CN" w:bidi="ar-SA"/>
              </w:rPr>
              <w:t>i、j两国在t时期的人口之和</w:t>
            </w:r>
          </w:p>
        </w:tc>
        <w:tc>
          <w:tcPr>
            <w:tcW w:w="1033"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right="0" w:rightChars="0"/>
              <w:jc w:val="both"/>
              <w:textAlignment w:val="auto"/>
              <w:outlineLvl w:val="9"/>
              <w:rPr>
                <w:rFonts w:hint="eastAsia" w:ascii="宋体" w:hAnsi="宋体" w:eastAsia="宋体" w:cs="宋体"/>
                <w:color w:val="auto"/>
                <w:kern w:val="2"/>
                <w:sz w:val="18"/>
                <w:szCs w:val="18"/>
                <w:vertAlign w:val="baseline"/>
                <w:lang w:val="en-US" w:eastAsia="zh-CN" w:bidi="ar-SA"/>
              </w:rPr>
            </w:pPr>
            <w:r>
              <w:rPr>
                <w:rFonts w:hint="eastAsia" w:ascii="宋体" w:hAnsi="宋体" w:eastAsia="宋体" w:cs="宋体"/>
                <w:color w:val="auto"/>
                <w:kern w:val="2"/>
                <w:sz w:val="18"/>
                <w:szCs w:val="18"/>
                <w:vertAlign w:val="baseline"/>
                <w:lang w:val="en-US" w:eastAsia="zh-CN" w:bidi="ar-SA"/>
              </w:rPr>
              <w:t>不确定</w:t>
            </w:r>
          </w:p>
        </w:tc>
        <w:tc>
          <w:tcPr>
            <w:tcW w:w="2022" w:type="dxa"/>
            <w:tcBorders>
              <w:top w:val="single" w:color="auto" w:sz="4" w:space="0"/>
              <w:left w:val="single" w:color="auto" w:sz="4" w:space="0"/>
              <w:bottom w:val="single" w:color="auto" w:sz="4" w:space="0"/>
              <w:right w:val="nil"/>
            </w:tcBorders>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right="0" w:rightChars="0"/>
              <w:jc w:val="both"/>
              <w:textAlignment w:val="auto"/>
              <w:outlineLvl w:val="9"/>
              <w:rPr>
                <w:rFonts w:hint="eastAsia" w:ascii="宋体" w:hAnsi="宋体" w:eastAsia="宋体" w:cs="宋体"/>
                <w:color w:val="auto"/>
                <w:kern w:val="2"/>
                <w:sz w:val="18"/>
                <w:szCs w:val="18"/>
                <w:vertAlign w:val="baseline"/>
                <w:lang w:val="en-US" w:eastAsia="zh-CN" w:bidi="ar-SA"/>
              </w:rPr>
            </w:pPr>
            <w:r>
              <w:rPr>
                <w:rFonts w:hint="eastAsia" w:ascii="宋体" w:hAnsi="宋体" w:eastAsia="宋体" w:cs="宋体"/>
                <w:color w:val="auto"/>
                <w:kern w:val="2"/>
                <w:sz w:val="18"/>
                <w:szCs w:val="18"/>
                <w:vertAlign w:val="baseline"/>
                <w:lang w:val="en-US" w:eastAsia="zh-CN" w:bidi="ar-SA"/>
              </w:rPr>
              <w:t>反映国家规模、</w:t>
            </w:r>
          </w:p>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right="0" w:rightChars="0"/>
              <w:jc w:val="both"/>
              <w:textAlignment w:val="auto"/>
              <w:outlineLvl w:val="9"/>
              <w:rPr>
                <w:rFonts w:hint="eastAsia" w:ascii="宋体" w:hAnsi="宋体" w:eastAsia="宋体" w:cs="宋体"/>
                <w:color w:val="auto"/>
                <w:kern w:val="2"/>
                <w:sz w:val="18"/>
                <w:szCs w:val="18"/>
                <w:vertAlign w:val="baseline"/>
                <w:lang w:val="en-US" w:eastAsia="zh-CN" w:bidi="ar-SA"/>
              </w:rPr>
            </w:pPr>
            <w:r>
              <w:rPr>
                <w:rFonts w:hint="eastAsia" w:ascii="宋体" w:hAnsi="宋体" w:eastAsia="宋体" w:cs="宋体"/>
                <w:color w:val="auto"/>
                <w:kern w:val="2"/>
                <w:sz w:val="18"/>
                <w:szCs w:val="18"/>
                <w:vertAlign w:val="baseline"/>
                <w:lang w:val="en-US" w:eastAsia="zh-CN" w:bidi="ar-SA"/>
              </w:rPr>
              <w:t>人均GDP等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1" w:hRule="atLeast"/>
        </w:trPr>
        <w:tc>
          <w:tcPr>
            <w:tcW w:w="1185" w:type="dxa"/>
            <w:tcBorders>
              <w:top w:val="single" w:color="auto" w:sz="4" w:space="0"/>
              <w:left w:val="nil"/>
              <w:bottom w:val="single" w:color="auto" w:sz="4" w:space="0"/>
              <w:right w:val="single" w:color="auto" w:sz="4" w:space="0"/>
            </w:tcBorders>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right="0" w:rightChars="0"/>
              <w:jc w:val="both"/>
              <w:textAlignment w:val="auto"/>
              <w:outlineLvl w:val="9"/>
              <w:rPr>
                <w:rFonts w:hint="eastAsia" w:ascii="宋体" w:hAnsi="宋体" w:eastAsia="宋体" w:cs="宋体"/>
                <w:color w:val="auto"/>
                <w:kern w:val="2"/>
                <w:sz w:val="18"/>
                <w:szCs w:val="18"/>
                <w:vertAlign w:val="baseline"/>
                <w:lang w:val="en-US" w:eastAsia="zh-CN" w:bidi="ar-SA"/>
              </w:rPr>
            </w:pPr>
          </w:p>
        </w:tc>
        <w:tc>
          <w:tcPr>
            <w:tcW w:w="1497"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right="0" w:rightChars="0"/>
              <w:jc w:val="both"/>
              <w:textAlignment w:val="auto"/>
              <w:outlineLvl w:val="9"/>
              <w:rPr>
                <w:rFonts w:hint="eastAsia" w:ascii="宋体" w:hAnsi="宋体" w:eastAsia="宋体" w:cs="宋体"/>
                <w:color w:val="auto"/>
                <w:kern w:val="2"/>
                <w:sz w:val="18"/>
                <w:szCs w:val="18"/>
                <w:vertAlign w:val="baseline"/>
                <w:lang w:val="en-US" w:eastAsia="zh-CN" w:bidi="ar-SA"/>
              </w:rPr>
            </w:pPr>
            <w:r>
              <w:rPr>
                <w:rFonts w:hint="eastAsia" w:ascii="Times New Roman" w:hAnsi="Times New Roman" w:eastAsia="宋体" w:cs="Times New Roman"/>
                <w:color w:val="auto"/>
                <w:kern w:val="2"/>
                <w:position w:val="-14"/>
                <w:sz w:val="21"/>
                <w:szCs w:val="21"/>
                <w:lang w:val="en-US" w:eastAsia="zh-CN" w:bidi="ar-SA"/>
              </w:rPr>
              <w:object>
                <v:shape id="_x0000_i1029" o:spt="75" type="#_x0000_t75" style="height:19.9pt;width:30.4pt;" o:ole="t" filled="f" o:preferrelative="t" stroked="f" coordsize="21600,21600">
                  <v:path/>
                  <v:fill on="f" focussize="0,0"/>
                  <v:stroke on="f"/>
                  <v:imagedata r:id="rId14" o:title=""/>
                  <o:lock v:ext="edit" aspectratio="t"/>
                  <w10:wrap type="none"/>
                  <w10:anchorlock/>
                </v:shape>
                <o:OLEObject Type="Embed" ProgID="Equation.KSEE3" ShapeID="_x0000_i1029" DrawAspect="Content" ObjectID="_1468075729" r:id="rId13">
                  <o:LockedField>false</o:LockedField>
                </o:OLEObject>
              </w:object>
            </w:r>
          </w:p>
        </w:tc>
        <w:tc>
          <w:tcPr>
            <w:tcW w:w="2911"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right="0" w:rightChars="0"/>
              <w:jc w:val="both"/>
              <w:textAlignment w:val="auto"/>
              <w:outlineLvl w:val="9"/>
              <w:rPr>
                <w:rFonts w:hint="eastAsia" w:ascii="宋体" w:hAnsi="宋体" w:eastAsia="宋体" w:cs="宋体"/>
                <w:color w:val="auto"/>
                <w:kern w:val="2"/>
                <w:sz w:val="18"/>
                <w:szCs w:val="18"/>
                <w:vertAlign w:val="baseline"/>
                <w:lang w:val="en-US" w:eastAsia="zh-CN" w:bidi="ar-SA"/>
              </w:rPr>
            </w:pPr>
            <w:r>
              <w:rPr>
                <w:rFonts w:hint="eastAsia" w:ascii="宋体" w:hAnsi="宋体" w:eastAsia="宋体" w:cs="宋体"/>
                <w:color w:val="auto"/>
                <w:kern w:val="2"/>
                <w:sz w:val="18"/>
                <w:szCs w:val="18"/>
                <w:vertAlign w:val="baseline"/>
                <w:lang w:val="en-US" w:eastAsia="zh-CN" w:bidi="ar-SA"/>
              </w:rPr>
              <w:t>i国首都和j国首都距离</w:t>
            </w:r>
          </w:p>
        </w:tc>
        <w:tc>
          <w:tcPr>
            <w:tcW w:w="1033"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right="0" w:rightChars="0"/>
              <w:jc w:val="both"/>
              <w:textAlignment w:val="auto"/>
              <w:outlineLvl w:val="9"/>
              <w:rPr>
                <w:rFonts w:hint="eastAsia" w:ascii="宋体" w:hAnsi="宋体" w:eastAsia="宋体" w:cs="宋体"/>
                <w:color w:val="auto"/>
                <w:kern w:val="2"/>
                <w:sz w:val="18"/>
                <w:szCs w:val="18"/>
                <w:vertAlign w:val="baseline"/>
                <w:lang w:val="en-US" w:eastAsia="zh-CN" w:bidi="ar-SA"/>
              </w:rPr>
            </w:pPr>
            <w:r>
              <w:rPr>
                <w:rFonts w:hint="eastAsia" w:ascii="宋体" w:hAnsi="宋体" w:eastAsia="宋体" w:cs="宋体"/>
                <w:color w:val="auto"/>
                <w:kern w:val="2"/>
                <w:sz w:val="18"/>
                <w:szCs w:val="18"/>
                <w:vertAlign w:val="baseline"/>
                <w:lang w:val="en-US" w:eastAsia="zh-CN" w:bidi="ar-SA"/>
              </w:rPr>
              <w:t>-</w:t>
            </w:r>
          </w:p>
        </w:tc>
        <w:tc>
          <w:tcPr>
            <w:tcW w:w="2022" w:type="dxa"/>
            <w:tcBorders>
              <w:top w:val="single" w:color="auto" w:sz="4" w:space="0"/>
              <w:left w:val="single" w:color="auto" w:sz="4" w:space="0"/>
              <w:bottom w:val="single" w:color="auto" w:sz="4" w:space="0"/>
              <w:right w:val="nil"/>
            </w:tcBorders>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right="0" w:rightChars="0"/>
              <w:jc w:val="both"/>
              <w:textAlignment w:val="auto"/>
              <w:outlineLvl w:val="9"/>
              <w:rPr>
                <w:rFonts w:hint="eastAsia" w:ascii="宋体" w:hAnsi="宋体" w:eastAsia="宋体" w:cs="宋体"/>
                <w:color w:val="auto"/>
                <w:kern w:val="2"/>
                <w:sz w:val="18"/>
                <w:szCs w:val="18"/>
                <w:vertAlign w:val="baseline"/>
                <w:lang w:val="en-US" w:eastAsia="zh-CN" w:bidi="ar-SA"/>
              </w:rPr>
            </w:pPr>
            <w:r>
              <w:rPr>
                <w:rFonts w:hint="eastAsia" w:ascii="宋体" w:hAnsi="宋体" w:eastAsia="宋体" w:cs="宋体"/>
                <w:color w:val="auto"/>
                <w:kern w:val="2"/>
                <w:sz w:val="18"/>
                <w:szCs w:val="18"/>
                <w:vertAlign w:val="baseline"/>
                <w:lang w:val="en-US" w:eastAsia="zh-CN" w:bidi="ar-SA"/>
              </w:rPr>
              <w:t>距离提高贸易成本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1" w:hRule="atLeast"/>
        </w:trPr>
        <w:tc>
          <w:tcPr>
            <w:tcW w:w="1185" w:type="dxa"/>
            <w:tcBorders>
              <w:top w:val="single" w:color="auto" w:sz="4" w:space="0"/>
              <w:left w:val="nil"/>
              <w:bottom w:val="single" w:color="auto" w:sz="4" w:space="0"/>
              <w:right w:val="single" w:color="auto" w:sz="4" w:space="0"/>
            </w:tcBorders>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right="0" w:rightChars="0"/>
              <w:jc w:val="both"/>
              <w:textAlignment w:val="auto"/>
              <w:outlineLvl w:val="9"/>
              <w:rPr>
                <w:rFonts w:hint="eastAsia" w:ascii="宋体" w:hAnsi="宋体" w:eastAsia="宋体" w:cs="宋体"/>
                <w:color w:val="auto"/>
                <w:kern w:val="2"/>
                <w:sz w:val="18"/>
                <w:szCs w:val="18"/>
                <w:vertAlign w:val="baseline"/>
                <w:lang w:val="en-US" w:eastAsia="zh-CN" w:bidi="ar-SA"/>
              </w:rPr>
            </w:pPr>
          </w:p>
        </w:tc>
        <w:tc>
          <w:tcPr>
            <w:tcW w:w="1497"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right="0" w:rightChars="0"/>
              <w:jc w:val="both"/>
              <w:textAlignment w:val="auto"/>
              <w:outlineLvl w:val="9"/>
              <w:rPr>
                <w:rFonts w:hint="eastAsia" w:ascii="宋体" w:hAnsi="宋体" w:eastAsia="宋体" w:cs="宋体"/>
                <w:color w:val="auto"/>
                <w:kern w:val="2"/>
                <w:sz w:val="18"/>
                <w:szCs w:val="18"/>
                <w:vertAlign w:val="baseline"/>
                <w:lang w:val="en-US" w:eastAsia="zh-CN" w:bidi="ar-SA"/>
              </w:rPr>
            </w:pPr>
            <w:r>
              <w:rPr>
                <w:rFonts w:hint="eastAsia" w:ascii="Times New Roman" w:hAnsi="Times New Roman" w:eastAsia="宋体" w:cs="Times New Roman"/>
                <w:color w:val="auto"/>
                <w:kern w:val="2"/>
                <w:position w:val="-14"/>
                <w:sz w:val="21"/>
                <w:szCs w:val="21"/>
                <w:lang w:val="en-US" w:eastAsia="zh-CN" w:bidi="ar-SA"/>
              </w:rPr>
              <w:object>
                <v:shape id="_x0000_i1030" o:spt="75" type="#_x0000_t75" style="height:19.9pt;width:32.5pt;" o:ole="t" filled="f" o:preferrelative="t" stroked="f" coordsize="21600,21600">
                  <v:path/>
                  <v:fill on="f" focussize="0,0"/>
                  <v:stroke on="f"/>
                  <v:imagedata r:id="rId16" o:title=""/>
                  <o:lock v:ext="edit" aspectratio="t"/>
                  <w10:wrap type="none"/>
                  <w10:anchorlock/>
                </v:shape>
                <o:OLEObject Type="Embed" ProgID="Equation.KSEE3" ShapeID="_x0000_i1030" DrawAspect="Content" ObjectID="_1468075730" r:id="rId15">
                  <o:LockedField>false</o:LockedField>
                </o:OLEObject>
              </w:object>
            </w:r>
          </w:p>
        </w:tc>
        <w:tc>
          <w:tcPr>
            <w:tcW w:w="2911"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right="0" w:rightChars="0"/>
              <w:jc w:val="both"/>
              <w:textAlignment w:val="auto"/>
              <w:outlineLvl w:val="9"/>
              <w:rPr>
                <w:rFonts w:hint="eastAsia" w:ascii="宋体" w:hAnsi="宋体" w:eastAsia="宋体" w:cs="宋体"/>
                <w:color w:val="auto"/>
                <w:kern w:val="2"/>
                <w:sz w:val="18"/>
                <w:szCs w:val="18"/>
                <w:vertAlign w:val="baseline"/>
                <w:lang w:val="en-US" w:eastAsia="zh-CN" w:bidi="ar-SA"/>
              </w:rPr>
            </w:pPr>
            <w:r>
              <w:rPr>
                <w:rFonts w:hint="eastAsia" w:ascii="宋体" w:hAnsi="宋体" w:eastAsia="宋体" w:cs="宋体"/>
                <w:color w:val="auto"/>
                <w:kern w:val="2"/>
                <w:sz w:val="18"/>
                <w:szCs w:val="18"/>
                <w:vertAlign w:val="baseline"/>
                <w:lang w:val="en-US" w:eastAsia="zh-CN" w:bidi="ar-SA"/>
              </w:rPr>
              <w:t>虚拟变量，表示i国和j国在t时期及以后都属于中新FTA，则其值为1，否则为0</w:t>
            </w:r>
          </w:p>
        </w:tc>
        <w:tc>
          <w:tcPr>
            <w:tcW w:w="1033"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right="0" w:rightChars="0"/>
              <w:jc w:val="both"/>
              <w:textAlignment w:val="auto"/>
              <w:outlineLvl w:val="9"/>
              <w:rPr>
                <w:rFonts w:hint="eastAsia" w:ascii="宋体" w:hAnsi="宋体" w:eastAsia="宋体" w:cs="宋体"/>
                <w:color w:val="auto"/>
                <w:kern w:val="2"/>
                <w:sz w:val="18"/>
                <w:szCs w:val="18"/>
                <w:vertAlign w:val="baseline"/>
                <w:lang w:val="en-US" w:eastAsia="zh-CN" w:bidi="ar-SA"/>
              </w:rPr>
            </w:pPr>
            <w:r>
              <w:rPr>
                <w:rFonts w:hint="eastAsia" w:ascii="宋体" w:hAnsi="宋体" w:eastAsia="宋体" w:cs="宋体"/>
                <w:color w:val="auto"/>
                <w:kern w:val="2"/>
                <w:sz w:val="18"/>
                <w:szCs w:val="18"/>
                <w:vertAlign w:val="baseline"/>
                <w:lang w:val="en-US" w:eastAsia="zh-CN" w:bidi="ar-SA"/>
              </w:rPr>
              <w:t>+</w:t>
            </w:r>
          </w:p>
        </w:tc>
        <w:tc>
          <w:tcPr>
            <w:tcW w:w="2022" w:type="dxa"/>
            <w:tcBorders>
              <w:top w:val="single" w:color="auto" w:sz="4" w:space="0"/>
              <w:left w:val="single" w:color="auto" w:sz="4" w:space="0"/>
              <w:bottom w:val="single" w:color="auto" w:sz="4" w:space="0"/>
              <w:right w:val="nil"/>
            </w:tcBorders>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right="0" w:rightChars="0"/>
              <w:jc w:val="both"/>
              <w:textAlignment w:val="auto"/>
              <w:outlineLvl w:val="9"/>
              <w:rPr>
                <w:rFonts w:hint="eastAsia" w:ascii="宋体" w:hAnsi="宋体" w:eastAsia="宋体" w:cs="宋体"/>
                <w:color w:val="auto"/>
                <w:kern w:val="2"/>
                <w:sz w:val="18"/>
                <w:szCs w:val="18"/>
                <w:vertAlign w:val="baseline"/>
                <w:lang w:val="en-US" w:eastAsia="zh-CN" w:bidi="ar-SA"/>
              </w:rPr>
            </w:pPr>
            <w:r>
              <w:rPr>
                <w:rFonts w:hint="eastAsia" w:ascii="宋体" w:hAnsi="宋体" w:eastAsia="宋体" w:cs="宋体"/>
                <w:color w:val="auto"/>
                <w:kern w:val="2"/>
                <w:sz w:val="18"/>
                <w:szCs w:val="18"/>
                <w:vertAlign w:val="baseline"/>
                <w:lang w:val="en-US" w:eastAsia="zh-CN" w:bidi="ar-SA"/>
              </w:rPr>
              <w:t>贸易促进效应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1" w:hRule="atLeast"/>
        </w:trPr>
        <w:tc>
          <w:tcPr>
            <w:tcW w:w="1185" w:type="dxa"/>
            <w:tcBorders>
              <w:top w:val="single" w:color="auto" w:sz="4" w:space="0"/>
              <w:left w:val="nil"/>
              <w:bottom w:val="single" w:color="auto" w:sz="4" w:space="0"/>
              <w:right w:val="single" w:color="auto" w:sz="4" w:space="0"/>
            </w:tcBorders>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right="0" w:rightChars="0"/>
              <w:jc w:val="both"/>
              <w:textAlignment w:val="auto"/>
              <w:outlineLvl w:val="9"/>
              <w:rPr>
                <w:rFonts w:hint="eastAsia" w:ascii="宋体" w:hAnsi="宋体" w:eastAsia="宋体" w:cs="宋体"/>
                <w:color w:val="auto"/>
                <w:kern w:val="2"/>
                <w:sz w:val="18"/>
                <w:szCs w:val="18"/>
                <w:vertAlign w:val="baseline"/>
                <w:lang w:val="en-US" w:eastAsia="zh-CN" w:bidi="ar-SA"/>
              </w:rPr>
            </w:pPr>
          </w:p>
        </w:tc>
        <w:tc>
          <w:tcPr>
            <w:tcW w:w="1497"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right="0" w:rightChars="0"/>
              <w:jc w:val="both"/>
              <w:textAlignment w:val="auto"/>
              <w:outlineLvl w:val="9"/>
              <w:rPr>
                <w:rFonts w:hint="eastAsia" w:ascii="宋体" w:hAnsi="宋体" w:eastAsia="宋体" w:cs="宋体"/>
                <w:color w:val="auto"/>
                <w:kern w:val="2"/>
                <w:sz w:val="18"/>
                <w:szCs w:val="18"/>
                <w:vertAlign w:val="baseline"/>
                <w:lang w:val="en-US" w:eastAsia="zh-CN" w:bidi="ar-SA"/>
              </w:rPr>
            </w:pPr>
            <w:r>
              <w:rPr>
                <w:rFonts w:hint="eastAsia" w:ascii="宋体" w:hAnsi="宋体" w:eastAsia="宋体" w:cs="宋体"/>
                <w:color w:val="auto"/>
                <w:kern w:val="2"/>
                <w:position w:val="-14"/>
                <w:sz w:val="18"/>
                <w:szCs w:val="18"/>
                <w:lang w:val="en-US" w:eastAsia="zh-CN" w:bidi="ar-SA"/>
              </w:rPr>
              <w:object>
                <v:shape id="_x0000_i1031" o:spt="75" type="#_x0000_t75" style="height:16.15pt;width:20.4pt;" o:ole="t" filled="f" o:preferrelative="t" stroked="f" coordsize="21600,21600">
                  <v:path/>
                  <v:fill on="f" focussize="0,0"/>
                  <v:stroke on="f"/>
                  <v:imagedata r:id="rId18" o:title=""/>
                  <o:lock v:ext="edit" aspectratio="t"/>
                  <w10:wrap type="none"/>
                  <w10:anchorlock/>
                </v:shape>
                <o:OLEObject Type="Embed" ProgID="Equation.KSEE3" ShapeID="_x0000_i1031" DrawAspect="Content" ObjectID="_1468075731" r:id="rId17">
                  <o:LockedField>false</o:LockedField>
                </o:OLEObject>
              </w:object>
            </w:r>
          </w:p>
        </w:tc>
        <w:tc>
          <w:tcPr>
            <w:tcW w:w="2911"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right="0" w:rightChars="0"/>
              <w:jc w:val="both"/>
              <w:textAlignment w:val="auto"/>
              <w:outlineLvl w:val="9"/>
              <w:rPr>
                <w:rFonts w:hint="eastAsia" w:ascii="宋体" w:hAnsi="宋体" w:eastAsia="宋体" w:cs="宋体"/>
                <w:color w:val="auto"/>
                <w:kern w:val="2"/>
                <w:sz w:val="18"/>
                <w:szCs w:val="18"/>
                <w:vertAlign w:val="baseline"/>
                <w:lang w:val="en-US" w:eastAsia="zh-CN" w:bidi="ar-SA"/>
              </w:rPr>
            </w:pPr>
            <w:r>
              <w:rPr>
                <w:rFonts w:hint="eastAsia" w:ascii="宋体" w:hAnsi="宋体" w:eastAsia="宋体" w:cs="宋体"/>
                <w:color w:val="auto"/>
                <w:kern w:val="2"/>
                <w:sz w:val="18"/>
                <w:szCs w:val="18"/>
                <w:vertAlign w:val="baseline"/>
                <w:lang w:val="en-US" w:eastAsia="zh-CN" w:bidi="ar-SA"/>
              </w:rPr>
              <w:t>虚拟变量，表示i国和j国在t时期及以后</w:t>
            </w:r>
            <w:r>
              <w:rPr>
                <w:rFonts w:hint="eastAsia" w:ascii="宋体" w:hAnsi="宋体" w:cs="宋体"/>
                <w:color w:val="auto"/>
                <w:kern w:val="2"/>
                <w:sz w:val="18"/>
                <w:szCs w:val="18"/>
                <w:vertAlign w:val="baseline"/>
                <w:lang w:val="en-US" w:eastAsia="zh-CN" w:bidi="ar-SA"/>
              </w:rPr>
              <w:t>其中</w:t>
            </w:r>
            <w:r>
              <w:rPr>
                <w:rFonts w:hint="eastAsia" w:ascii="宋体" w:hAnsi="宋体" w:eastAsia="宋体" w:cs="宋体"/>
                <w:color w:val="auto"/>
                <w:kern w:val="2"/>
                <w:sz w:val="18"/>
                <w:szCs w:val="18"/>
                <w:vertAlign w:val="baseline"/>
                <w:lang w:val="en-US" w:eastAsia="zh-CN" w:bidi="ar-SA"/>
              </w:rPr>
              <w:t>一个属于FTA成员国，另一个不属于FTA成员国，则其值为1，否则为0</w:t>
            </w:r>
          </w:p>
        </w:tc>
        <w:tc>
          <w:tcPr>
            <w:tcW w:w="1033"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right="0" w:rightChars="0"/>
              <w:jc w:val="both"/>
              <w:textAlignment w:val="auto"/>
              <w:outlineLvl w:val="9"/>
              <w:rPr>
                <w:rFonts w:hint="eastAsia" w:ascii="宋体" w:hAnsi="宋体" w:eastAsia="宋体" w:cs="宋体"/>
                <w:color w:val="auto"/>
                <w:kern w:val="2"/>
                <w:sz w:val="18"/>
                <w:szCs w:val="18"/>
                <w:vertAlign w:val="baseline"/>
                <w:lang w:val="en-US" w:eastAsia="zh-CN" w:bidi="ar-SA"/>
              </w:rPr>
            </w:pPr>
            <w:r>
              <w:rPr>
                <w:rFonts w:hint="eastAsia" w:ascii="宋体" w:hAnsi="宋体" w:eastAsia="宋体" w:cs="宋体"/>
                <w:color w:val="auto"/>
                <w:kern w:val="2"/>
                <w:sz w:val="18"/>
                <w:szCs w:val="18"/>
                <w:vertAlign w:val="baseline"/>
                <w:lang w:val="en-US" w:eastAsia="zh-CN" w:bidi="ar-SA"/>
              </w:rPr>
              <w:t>不确定</w:t>
            </w:r>
          </w:p>
        </w:tc>
        <w:tc>
          <w:tcPr>
            <w:tcW w:w="2022" w:type="dxa"/>
            <w:tcBorders>
              <w:top w:val="single" w:color="auto" w:sz="4" w:space="0"/>
              <w:left w:val="single" w:color="auto" w:sz="4" w:space="0"/>
              <w:bottom w:val="single" w:color="auto" w:sz="4" w:space="0"/>
              <w:right w:val="nil"/>
            </w:tcBorders>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right="0" w:rightChars="0"/>
              <w:jc w:val="both"/>
              <w:textAlignment w:val="auto"/>
              <w:outlineLvl w:val="9"/>
              <w:rPr>
                <w:rFonts w:hint="eastAsia" w:ascii="宋体" w:hAnsi="宋体" w:eastAsia="宋体" w:cs="宋体"/>
                <w:color w:val="auto"/>
                <w:kern w:val="2"/>
                <w:sz w:val="18"/>
                <w:szCs w:val="18"/>
                <w:vertAlign w:val="baseline"/>
                <w:lang w:val="en-US" w:eastAsia="zh-CN" w:bidi="ar-SA"/>
              </w:rPr>
            </w:pPr>
            <w:r>
              <w:rPr>
                <w:rFonts w:hint="eastAsia" w:ascii="宋体" w:hAnsi="宋体" w:eastAsia="宋体" w:cs="宋体"/>
                <w:color w:val="auto"/>
                <w:kern w:val="2"/>
                <w:sz w:val="18"/>
                <w:szCs w:val="18"/>
                <w:vertAlign w:val="baseline"/>
                <w:lang w:val="en-US" w:eastAsia="zh-CN" w:bidi="ar-SA"/>
              </w:rPr>
              <w:t>贸易转移效应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1" w:hRule="atLeast"/>
        </w:trPr>
        <w:tc>
          <w:tcPr>
            <w:tcW w:w="1185" w:type="dxa"/>
            <w:tcBorders>
              <w:top w:val="single" w:color="auto" w:sz="4" w:space="0"/>
              <w:left w:val="nil"/>
              <w:bottom w:val="single" w:color="auto" w:sz="4" w:space="0"/>
              <w:right w:val="single" w:color="auto" w:sz="4" w:space="0"/>
            </w:tcBorders>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right="0" w:rightChars="0"/>
              <w:jc w:val="both"/>
              <w:textAlignment w:val="auto"/>
              <w:outlineLvl w:val="9"/>
              <w:rPr>
                <w:rFonts w:hint="eastAsia" w:ascii="宋体" w:hAnsi="宋体" w:eastAsia="宋体" w:cs="宋体"/>
                <w:color w:val="auto"/>
                <w:kern w:val="2"/>
                <w:sz w:val="18"/>
                <w:szCs w:val="18"/>
                <w:vertAlign w:val="baseline"/>
                <w:lang w:val="en-US" w:eastAsia="zh-CN" w:bidi="ar-SA"/>
              </w:rPr>
            </w:pPr>
          </w:p>
        </w:tc>
        <w:tc>
          <w:tcPr>
            <w:tcW w:w="1497"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right="0" w:rightChars="0"/>
              <w:jc w:val="both"/>
              <w:textAlignment w:val="auto"/>
              <w:outlineLvl w:val="9"/>
              <w:rPr>
                <w:rFonts w:hint="eastAsia" w:ascii="宋体" w:hAnsi="宋体" w:eastAsia="宋体" w:cs="宋体"/>
                <w:color w:val="auto"/>
                <w:kern w:val="2"/>
                <w:sz w:val="18"/>
                <w:szCs w:val="18"/>
                <w:vertAlign w:val="baseline"/>
                <w:lang w:val="en-US" w:eastAsia="zh-CN" w:bidi="ar-SA"/>
              </w:rPr>
            </w:pPr>
            <w:r>
              <w:rPr>
                <w:rFonts w:hint="eastAsia" w:ascii="宋体" w:hAnsi="宋体" w:eastAsia="宋体" w:cs="宋体"/>
                <w:color w:val="auto"/>
                <w:kern w:val="2"/>
                <w:position w:val="-14"/>
                <w:sz w:val="18"/>
                <w:szCs w:val="18"/>
                <w:lang w:val="en-US" w:eastAsia="zh-CN" w:bidi="ar-SA"/>
              </w:rPr>
              <w:object>
                <v:shape id="_x0000_i1032" o:spt="75" type="#_x0000_t75" style="height:18.55pt;width:32.3pt;" o:ole="t" filled="f" o:preferrelative="t" stroked="f" coordsize="21600,21600">
                  <v:path/>
                  <v:fill on="f" focussize="0,0"/>
                  <v:stroke on="f"/>
                  <v:imagedata r:id="rId20" o:title=""/>
                  <o:lock v:ext="edit" aspectratio="t"/>
                  <w10:wrap type="none"/>
                  <w10:anchorlock/>
                </v:shape>
                <o:OLEObject Type="Embed" ProgID="Equation.KSEE3" ShapeID="_x0000_i1032" DrawAspect="Content" ObjectID="_1468075732" r:id="rId19">
                  <o:LockedField>false</o:LockedField>
                </o:OLEObject>
              </w:object>
            </w:r>
          </w:p>
        </w:tc>
        <w:tc>
          <w:tcPr>
            <w:tcW w:w="2911"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right="0" w:rightChars="0"/>
              <w:jc w:val="both"/>
              <w:textAlignment w:val="auto"/>
              <w:outlineLvl w:val="9"/>
              <w:rPr>
                <w:rFonts w:hint="eastAsia" w:ascii="宋体" w:hAnsi="宋体" w:eastAsia="宋体" w:cs="宋体"/>
                <w:color w:val="auto"/>
                <w:kern w:val="2"/>
                <w:sz w:val="18"/>
                <w:szCs w:val="18"/>
                <w:vertAlign w:val="baseline"/>
                <w:lang w:val="en-US" w:eastAsia="zh-CN" w:bidi="ar-SA"/>
              </w:rPr>
            </w:pPr>
            <w:r>
              <w:rPr>
                <w:rFonts w:hint="eastAsia" w:ascii="宋体" w:hAnsi="宋体" w:eastAsia="宋体" w:cs="宋体"/>
                <w:color w:val="auto"/>
                <w:kern w:val="2"/>
                <w:sz w:val="18"/>
                <w:szCs w:val="18"/>
                <w:vertAlign w:val="baseline"/>
                <w:lang w:val="en-US" w:eastAsia="zh-CN" w:bidi="ar-SA"/>
              </w:rPr>
              <w:t>虚拟变量，两国拥有共同的语言值为1，否则为0</w:t>
            </w:r>
          </w:p>
        </w:tc>
        <w:tc>
          <w:tcPr>
            <w:tcW w:w="1033"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right="0" w:rightChars="0"/>
              <w:jc w:val="both"/>
              <w:textAlignment w:val="auto"/>
              <w:outlineLvl w:val="9"/>
              <w:rPr>
                <w:rFonts w:hint="eastAsia" w:ascii="宋体" w:hAnsi="宋体" w:eastAsia="宋体" w:cs="宋体"/>
                <w:color w:val="auto"/>
                <w:kern w:val="2"/>
                <w:sz w:val="18"/>
                <w:szCs w:val="18"/>
                <w:vertAlign w:val="baseline"/>
                <w:lang w:val="en-US" w:eastAsia="zh-CN" w:bidi="ar-SA"/>
              </w:rPr>
            </w:pPr>
            <w:r>
              <w:rPr>
                <w:rFonts w:hint="eastAsia" w:ascii="宋体" w:hAnsi="宋体" w:eastAsia="宋体" w:cs="宋体"/>
                <w:color w:val="auto"/>
                <w:kern w:val="2"/>
                <w:sz w:val="18"/>
                <w:szCs w:val="18"/>
                <w:vertAlign w:val="baseline"/>
                <w:lang w:val="en-US" w:eastAsia="zh-CN" w:bidi="ar-SA"/>
              </w:rPr>
              <w:t>不确定</w:t>
            </w:r>
          </w:p>
        </w:tc>
        <w:tc>
          <w:tcPr>
            <w:tcW w:w="2022" w:type="dxa"/>
            <w:tcBorders>
              <w:top w:val="single" w:color="auto" w:sz="4" w:space="0"/>
              <w:left w:val="single" w:color="auto" w:sz="4" w:space="0"/>
              <w:bottom w:val="single" w:color="auto" w:sz="4" w:space="0"/>
              <w:right w:val="nil"/>
            </w:tcBorders>
          </w:tcPr>
          <w:p>
            <w:pPr>
              <w:numPr>
                <w:ilvl w:val="0"/>
                <w:numId w:val="0"/>
              </w:numPr>
              <w:spacing w:line="360" w:lineRule="auto"/>
              <w:rPr>
                <w:rFonts w:hint="eastAsia"/>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1" w:hRule="atLeast"/>
        </w:trPr>
        <w:tc>
          <w:tcPr>
            <w:tcW w:w="1185" w:type="dxa"/>
            <w:tcBorders>
              <w:top w:val="single" w:color="auto" w:sz="4" w:space="0"/>
              <w:left w:val="nil"/>
              <w:bottom w:val="single" w:color="auto" w:sz="4" w:space="0"/>
              <w:right w:val="single" w:color="auto" w:sz="4" w:space="0"/>
            </w:tcBorders>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right="0" w:rightChars="0"/>
              <w:jc w:val="both"/>
              <w:textAlignment w:val="auto"/>
              <w:outlineLvl w:val="9"/>
              <w:rPr>
                <w:rFonts w:hint="eastAsia" w:ascii="宋体" w:hAnsi="宋体" w:eastAsia="宋体" w:cs="宋体"/>
                <w:color w:val="auto"/>
                <w:kern w:val="2"/>
                <w:sz w:val="18"/>
                <w:szCs w:val="18"/>
                <w:vertAlign w:val="baseline"/>
                <w:lang w:val="en-US" w:eastAsia="zh-CN" w:bidi="ar-SA"/>
              </w:rPr>
            </w:pPr>
          </w:p>
        </w:tc>
        <w:tc>
          <w:tcPr>
            <w:tcW w:w="1497"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right="0" w:rightChars="0"/>
              <w:jc w:val="both"/>
              <w:textAlignment w:val="auto"/>
              <w:outlineLvl w:val="9"/>
              <w:rPr>
                <w:rFonts w:hint="eastAsia" w:ascii="宋体" w:hAnsi="宋体" w:eastAsia="宋体" w:cs="宋体"/>
                <w:color w:val="auto"/>
                <w:kern w:val="2"/>
                <w:position w:val="-14"/>
                <w:sz w:val="18"/>
                <w:szCs w:val="18"/>
                <w:lang w:val="en-US" w:eastAsia="zh-CN" w:bidi="ar-SA"/>
              </w:rPr>
            </w:pPr>
            <w:r>
              <w:rPr>
                <w:rFonts w:hint="eastAsia" w:ascii="宋体" w:hAnsi="宋体" w:eastAsia="宋体" w:cs="宋体"/>
                <w:color w:val="auto"/>
                <w:kern w:val="2"/>
                <w:position w:val="-14"/>
                <w:sz w:val="18"/>
                <w:szCs w:val="18"/>
                <w:lang w:val="en-US" w:eastAsia="zh-CN" w:bidi="ar-SA"/>
              </w:rPr>
              <w:object>
                <v:shape id="_x0000_i1033" o:spt="75" type="#_x0000_t75" style="height:18.55pt;width:24.45pt;" o:ole="t" filled="f" o:preferrelative="t" stroked="f" coordsize="21600,21600">
                  <v:path/>
                  <v:fill on="f" focussize="0,0"/>
                  <v:stroke on="f"/>
                  <v:imagedata r:id="rId22" o:title=""/>
                  <o:lock v:ext="edit" aspectratio="t"/>
                  <w10:wrap type="none"/>
                  <w10:anchorlock/>
                </v:shape>
                <o:OLEObject Type="Embed" ProgID="Equation.KSEE3" ShapeID="_x0000_i1033" DrawAspect="Content" ObjectID="_1468075733" r:id="rId21">
                  <o:LockedField>false</o:LockedField>
                </o:OLEObject>
              </w:object>
            </w:r>
          </w:p>
        </w:tc>
        <w:tc>
          <w:tcPr>
            <w:tcW w:w="2911"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right="0" w:rightChars="0"/>
              <w:jc w:val="both"/>
              <w:textAlignment w:val="auto"/>
              <w:outlineLvl w:val="9"/>
              <w:rPr>
                <w:rFonts w:hint="eastAsia" w:ascii="宋体" w:hAnsi="宋体" w:eastAsia="宋体" w:cs="宋体"/>
                <w:color w:val="auto"/>
                <w:kern w:val="2"/>
                <w:sz w:val="18"/>
                <w:szCs w:val="18"/>
                <w:vertAlign w:val="baseline"/>
                <w:lang w:val="en-US" w:eastAsia="zh-CN" w:bidi="ar-SA"/>
              </w:rPr>
            </w:pPr>
            <w:r>
              <w:rPr>
                <w:rFonts w:hint="eastAsia" w:ascii="宋体" w:hAnsi="宋体" w:eastAsia="宋体" w:cs="宋体"/>
                <w:color w:val="auto"/>
                <w:kern w:val="2"/>
                <w:sz w:val="18"/>
                <w:szCs w:val="18"/>
                <w:vertAlign w:val="baseline"/>
                <w:lang w:val="en-US" w:eastAsia="zh-CN" w:bidi="ar-SA"/>
              </w:rPr>
              <w:t>虚拟变量，两国接壤值为1，否则为0</w:t>
            </w:r>
          </w:p>
        </w:tc>
        <w:tc>
          <w:tcPr>
            <w:tcW w:w="1033"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right="0" w:rightChars="0"/>
              <w:jc w:val="both"/>
              <w:textAlignment w:val="auto"/>
              <w:outlineLvl w:val="9"/>
              <w:rPr>
                <w:rFonts w:hint="eastAsia" w:ascii="宋体" w:hAnsi="宋体" w:eastAsia="宋体" w:cs="宋体"/>
                <w:color w:val="auto"/>
                <w:kern w:val="2"/>
                <w:sz w:val="18"/>
                <w:szCs w:val="18"/>
                <w:vertAlign w:val="baseline"/>
                <w:lang w:val="en-US" w:eastAsia="zh-CN" w:bidi="ar-SA"/>
              </w:rPr>
            </w:pPr>
            <w:r>
              <w:rPr>
                <w:rFonts w:hint="eastAsia" w:ascii="宋体" w:hAnsi="宋体" w:eastAsia="宋体" w:cs="宋体"/>
                <w:color w:val="auto"/>
                <w:kern w:val="2"/>
                <w:sz w:val="18"/>
                <w:szCs w:val="18"/>
                <w:vertAlign w:val="baseline"/>
                <w:lang w:val="en-US" w:eastAsia="zh-CN" w:bidi="ar-SA"/>
              </w:rPr>
              <w:t>不确定</w:t>
            </w:r>
          </w:p>
        </w:tc>
        <w:tc>
          <w:tcPr>
            <w:tcW w:w="2022" w:type="dxa"/>
            <w:tcBorders>
              <w:top w:val="single" w:color="auto" w:sz="4" w:space="0"/>
              <w:left w:val="single" w:color="auto" w:sz="4" w:space="0"/>
              <w:bottom w:val="single" w:color="auto" w:sz="4" w:space="0"/>
              <w:right w:val="nil"/>
            </w:tcBorders>
          </w:tcPr>
          <w:p>
            <w:pPr>
              <w:numPr>
                <w:ilvl w:val="0"/>
                <w:numId w:val="0"/>
              </w:numPr>
              <w:spacing w:line="360" w:lineRule="auto"/>
              <w:rPr>
                <w:rFonts w:hint="eastAsia"/>
                <w:sz w:val="21"/>
                <w:szCs w:val="21"/>
                <w:lang w:val="en-US" w:eastAsia="zh-CN"/>
              </w:rPr>
            </w:pPr>
          </w:p>
        </w:tc>
      </w:tr>
    </w:tbl>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szCs w:val="21"/>
          <w:lang w:val="en-US" w:eastAsia="zh-CN"/>
        </w:rPr>
      </w:pPr>
      <w:r>
        <w:rPr>
          <w:rFonts w:hint="eastAsia"/>
          <w:lang w:val="en-US" w:eastAsia="zh-CN"/>
        </w:rPr>
        <w:t>方程（1）是一个单独的估计方程。在处理影响贸易流动的未观察到的国家对特性的一种方法是包括对每一个二元组假如固定效应。这种固定影响将反映出对国家特有、但在所审查的时期内保持不变的任何因素对贸易的影响（例如距离、共同边界、内陆或岛屿、使用共同语言以及任何其他未被观察到的历史或文化联系）。</w:t>
      </w:r>
      <w:r>
        <w:rPr>
          <w:szCs w:val="21"/>
        </w:rPr>
        <w:t>Mátyás</w:t>
      </w:r>
      <w:r>
        <w:rPr>
          <w:rFonts w:hint="eastAsia"/>
          <w:szCs w:val="21"/>
          <w:lang w:eastAsia="zh-CN"/>
        </w:rPr>
        <w:t>（</w:t>
      </w:r>
      <w:r>
        <w:rPr>
          <w:rFonts w:hint="eastAsia"/>
          <w:szCs w:val="21"/>
          <w:lang w:val="en-US" w:eastAsia="zh-CN"/>
        </w:rPr>
        <w:t>1997</w:t>
      </w:r>
      <w:r>
        <w:rPr>
          <w:rFonts w:hint="eastAsia"/>
          <w:szCs w:val="21"/>
          <w:lang w:eastAsia="zh-CN"/>
        </w:rPr>
        <w:t>）</w:t>
      </w:r>
      <w:r>
        <w:rPr>
          <w:rFonts w:hint="eastAsia"/>
          <w:szCs w:val="21"/>
        </w:rPr>
        <w:t>流量的无偏</w:t>
      </w:r>
      <w:r>
        <w:rPr>
          <w:szCs w:val="21"/>
        </w:rPr>
        <w:t>估计</w:t>
      </w:r>
      <w:r>
        <w:rPr>
          <w:rFonts w:hint="eastAsia"/>
          <w:szCs w:val="21"/>
        </w:rPr>
        <w:t>至少需要控制模型中的“</w:t>
      </w:r>
      <w:r>
        <w:rPr>
          <w:szCs w:val="21"/>
        </w:rPr>
        <w:t>时间效应</w:t>
      </w:r>
      <w:r>
        <w:rPr>
          <w:rFonts w:hint="eastAsia"/>
          <w:szCs w:val="21"/>
        </w:rPr>
        <w:t>”和“个体</w:t>
      </w:r>
      <w:r>
        <w:rPr>
          <w:szCs w:val="21"/>
        </w:rPr>
        <w:t>效应</w:t>
      </w:r>
      <w:r>
        <w:rPr>
          <w:rFonts w:hint="eastAsia"/>
          <w:szCs w:val="21"/>
        </w:rPr>
        <w:t>”；</w:t>
      </w:r>
      <w:r>
        <w:rPr>
          <w:szCs w:val="21"/>
        </w:rPr>
        <w:t>Baier and Bergstrand（2007）指出：通过控制“国家组固定效应”和“时间固定效应”进而对“多边阻力条件”进行设定，可以获取较好的模型估计</w:t>
      </w:r>
      <w:r>
        <w:rPr>
          <w:rFonts w:hint="eastAsia"/>
          <w:szCs w:val="21"/>
          <w:lang w:eastAsia="zh-CN"/>
        </w:rPr>
        <w:t>。</w:t>
      </w:r>
      <w:r>
        <w:rPr>
          <w:rFonts w:hint="eastAsia"/>
          <w:szCs w:val="21"/>
          <w:lang w:val="en-US" w:eastAsia="zh-CN"/>
        </w:rPr>
        <w:t>因此，根据以往的研究经验，本文引入</w:t>
      </w:r>
      <w:r>
        <w:rPr>
          <w:rFonts w:hint="eastAsia"/>
          <w:szCs w:val="21"/>
        </w:rPr>
        <w:t>固定效应模型来对FTA内生性进行进一步控制</w:t>
      </w:r>
      <w:r>
        <w:rPr>
          <w:rFonts w:hint="eastAsia"/>
          <w:szCs w:val="21"/>
          <w:lang w:eastAsia="zh-CN"/>
        </w:rPr>
        <w:t>。</w:t>
      </w:r>
      <w:r>
        <w:rPr>
          <w:szCs w:val="21"/>
        </w:rPr>
        <w:t>“时间固定效应”（</w:t>
      </w:r>
      <w:r>
        <w:rPr>
          <w:rFonts w:hint="eastAsia" w:ascii="Times New Roman" w:hAnsi="Times New Roman" w:eastAsia="宋体" w:cs="Times New Roman"/>
          <w:color w:val="auto"/>
          <w:kern w:val="2"/>
          <w:position w:val="-12"/>
          <w:sz w:val="21"/>
          <w:szCs w:val="21"/>
          <w:lang w:val="en-US" w:eastAsia="zh-CN" w:bidi="ar-SA"/>
        </w:rPr>
        <w:object>
          <v:shape id="_x0000_i1034" o:spt="75" type="#_x0000_t75" style="height:18.85pt;width:13.65pt;" o:ole="t" filled="f" o:preferrelative="t" stroked="f" coordsize="21600,21600">
            <v:path/>
            <v:fill on="f" focussize="0,0"/>
            <v:stroke on="f"/>
            <v:imagedata r:id="rId24" o:title=""/>
            <o:lock v:ext="edit" aspectratio="t"/>
            <w10:wrap type="none"/>
            <w10:anchorlock/>
          </v:shape>
          <o:OLEObject Type="Embed" ProgID="Equation.KSEE3" ShapeID="_x0000_i1034" DrawAspect="Content" ObjectID="_1468075734" r:id="rId23">
            <o:LockedField>false</o:LockedField>
          </o:OLEObject>
        </w:object>
      </w:r>
      <w:r>
        <w:rPr>
          <w:szCs w:val="21"/>
        </w:rPr>
        <w:t>）则用来控制贸易中的时间趋势和影响特定年份全球贸易流量的冲击(Magee, 2008)</w:t>
      </w:r>
      <w:r>
        <w:rPr>
          <w:rFonts w:hint="eastAsia"/>
          <w:szCs w:val="21"/>
          <w:lang w:eastAsia="zh-CN"/>
        </w:rPr>
        <w:t>，</w:t>
      </w:r>
      <w:r>
        <w:rPr>
          <w:szCs w:val="21"/>
        </w:rPr>
        <w:t>“国家组固定效应”（</w:t>
      </w:r>
      <w:r>
        <w:rPr>
          <w:rFonts w:hint="eastAsia" w:ascii="Times New Roman" w:hAnsi="Times New Roman" w:eastAsia="宋体" w:cs="Times New Roman"/>
          <w:color w:val="auto"/>
          <w:kern w:val="2"/>
          <w:position w:val="-14"/>
          <w:sz w:val="21"/>
          <w:szCs w:val="21"/>
          <w:lang w:val="en-US" w:eastAsia="zh-CN" w:bidi="ar-SA"/>
        </w:rPr>
        <w:object>
          <v:shape id="_x0000_i1035" o:spt="75" type="#_x0000_t75" style="height:19.9pt;width:14.65pt;" o:ole="t" filled="f" o:preferrelative="t" stroked="f" coordsize="21600,21600">
            <v:path/>
            <v:fill on="f" focussize="0,0"/>
            <v:stroke on="f"/>
            <v:imagedata r:id="rId26" o:title=""/>
            <o:lock v:ext="edit" aspectratio="t"/>
            <w10:wrap type="none"/>
            <w10:anchorlock/>
          </v:shape>
          <o:OLEObject Type="Embed" ProgID="Equation.KSEE3" ShapeID="_x0000_i1035" DrawAspect="Content" ObjectID="_1468075735" r:id="rId25">
            <o:LockedField>false</o:LockedField>
          </o:OLEObject>
        </w:object>
      </w:r>
      <w:r>
        <w:rPr>
          <w:szCs w:val="21"/>
        </w:rPr>
        <w:t>）用来控制不同国家之间不随时间变化的贸易特征差异</w:t>
      </w:r>
      <w:r>
        <w:rPr>
          <w:rFonts w:hint="eastAsia"/>
          <w:szCs w:val="21"/>
          <w:lang w:eastAsia="zh-CN"/>
        </w:rPr>
        <w:t>（</w:t>
      </w:r>
      <w:r>
        <w:rPr>
          <w:rFonts w:hint="eastAsia"/>
          <w:szCs w:val="21"/>
          <w:lang w:val="en-US" w:eastAsia="zh-CN"/>
        </w:rPr>
        <w:t>距离、语言等</w:t>
      </w:r>
      <w:r>
        <w:rPr>
          <w:rFonts w:hint="eastAsia"/>
          <w:szCs w:val="21"/>
          <w:lang w:eastAsia="zh-CN"/>
        </w:rPr>
        <w:t>）</w:t>
      </w:r>
      <w:r>
        <w:rPr>
          <w:szCs w:val="21"/>
        </w:rPr>
        <w:t>，</w:t>
      </w:r>
      <w:r>
        <w:rPr>
          <w:rFonts w:hint="eastAsia"/>
          <w:szCs w:val="21"/>
          <w:lang w:val="en-US" w:eastAsia="zh-CN"/>
        </w:rPr>
        <w:t>得到方程（2）：</w:t>
      </w:r>
    </w:p>
    <w:p>
      <w:pPr>
        <w:spacing w:line="300" w:lineRule="auto"/>
        <w:rPr>
          <w:rFonts w:hint="eastAsia"/>
          <w:szCs w:val="21"/>
          <w:lang w:val="en-US" w:eastAsia="zh-CN"/>
        </w:rPr>
      </w:pPr>
      <w:r>
        <w:rPr>
          <w:rFonts w:hint="eastAsia" w:ascii="Times New Roman" w:hAnsi="Times New Roman" w:eastAsia="宋体" w:cs="Times New Roman"/>
          <w:color w:val="auto"/>
          <w:kern w:val="2"/>
          <w:position w:val="-34"/>
          <w:sz w:val="21"/>
          <w:szCs w:val="21"/>
          <w:lang w:val="en-US" w:eastAsia="zh-CN" w:bidi="ar-SA"/>
        </w:rPr>
        <w:object>
          <v:shape id="_x0000_i1036" o:spt="75" type="#_x0000_t75" style="height:41.8pt;width:402.1pt;" o:ole="t" filled="f" o:preferrelative="t" stroked="f" coordsize="21600,21600">
            <v:path/>
            <v:fill on="f" focussize="0,0"/>
            <v:stroke on="f"/>
            <v:imagedata r:id="rId28" o:title=""/>
            <o:lock v:ext="edit" aspectratio="t"/>
            <w10:wrap type="none"/>
            <w10:anchorlock/>
          </v:shape>
          <o:OLEObject Type="Embed" ProgID="Equation.KSEE3" ShapeID="_x0000_i1036" DrawAspect="Content" ObjectID="_1468075736" r:id="rId27">
            <o:LockedField>false</o:LockedField>
          </o:OLEObject>
        </w:objec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left"/>
        <w:textAlignment w:val="auto"/>
        <w:rPr>
          <w:rFonts w:hint="eastAsia"/>
          <w:szCs w:val="21"/>
          <w:lang w:val="en-US" w:eastAsia="zh-CN"/>
        </w:rPr>
      </w:pPr>
      <w:r>
        <w:rPr>
          <w:rFonts w:hint="eastAsia"/>
          <w:szCs w:val="21"/>
          <w:lang w:val="en-US" w:eastAsia="zh-CN"/>
        </w:rPr>
        <w:t>然而，方程（1）-（2）还存在一个问题，</w:t>
      </w:r>
      <w:r>
        <w:rPr>
          <w:rFonts w:hint="eastAsia"/>
        </w:rPr>
        <w:t>即对一国双边贸易流动的具体时间冲击不受控制。只要这些冲击与该国制定区域协定的决定无关, 系数估计就不会有偏见。然而, 控制这种冲击将提高估计的准确性。处理影响特定年份进口</w:t>
      </w:r>
      <w:r>
        <w:rPr>
          <w:rFonts w:hint="eastAsia"/>
          <w:lang w:val="en-US" w:eastAsia="zh-CN"/>
        </w:rPr>
        <w:t>国</w:t>
      </w:r>
      <w:r>
        <w:rPr>
          <w:rFonts w:hint="eastAsia"/>
        </w:rPr>
        <w:t>或出口</w:t>
      </w:r>
      <w:r>
        <w:rPr>
          <w:rFonts w:hint="eastAsia"/>
          <w:lang w:val="en-US" w:eastAsia="zh-CN"/>
        </w:rPr>
        <w:t>国</w:t>
      </w:r>
      <w:r>
        <w:rPr>
          <w:rFonts w:hint="eastAsia"/>
        </w:rPr>
        <w:t>的贸易流动的许多因素的一个简单方法是</w:t>
      </w:r>
      <w:r>
        <w:rPr>
          <w:rFonts w:hint="eastAsia"/>
          <w:lang w:val="en-US" w:eastAsia="zh-CN"/>
        </w:rPr>
        <w:t>在方程（2）的基础上</w:t>
      </w:r>
      <w:r>
        <w:rPr>
          <w:rFonts w:hint="eastAsia" w:cs="Times New Roman" w:asciiTheme="minorEastAsia" w:hAnsiTheme="minorEastAsia"/>
          <w:szCs w:val="21"/>
          <w:lang w:val="en-US" w:eastAsia="zh-CN"/>
        </w:rPr>
        <w:t>再加入国家-时间固定（</w:t>
      </w:r>
      <w:r>
        <w:rPr>
          <w:rFonts w:hint="eastAsia" w:ascii="Times New Roman" w:hAnsi="Times New Roman" w:eastAsia="宋体" w:cs="Times New Roman"/>
          <w:color w:val="auto"/>
          <w:kern w:val="2"/>
          <w:position w:val="-12"/>
          <w:sz w:val="21"/>
          <w:szCs w:val="21"/>
          <w:lang w:val="en-US" w:eastAsia="zh-CN" w:bidi="ar-SA"/>
        </w:rPr>
        <w:object>
          <v:shape id="_x0000_i1037" o:spt="75" type="#_x0000_t75" style="height:18.85pt;width:15.75pt;" o:ole="t" filled="f" o:preferrelative="t" stroked="f" coordsize="21600,21600">
            <v:path/>
            <v:fill on="f" focussize="0,0"/>
            <v:stroke on="f"/>
            <v:imagedata r:id="rId30" o:title=""/>
            <o:lock v:ext="edit" aspectratio="t"/>
            <w10:wrap type="none"/>
            <w10:anchorlock/>
          </v:shape>
          <o:OLEObject Type="Embed" ProgID="Equation.KSEE3" ShapeID="_x0000_i1037" DrawAspect="Content" ObjectID="_1468075737" r:id="rId29">
            <o:LockedField>false</o:LockedField>
          </o:OLEObject>
        </w:object>
      </w:r>
      <w:r>
        <w:rPr>
          <w:rFonts w:hint="eastAsia" w:cs="Times New Roman" w:asciiTheme="minorEastAsia" w:hAnsiTheme="minorEastAsia"/>
          <w:szCs w:val="21"/>
          <w:lang w:val="en-US" w:eastAsia="zh-CN"/>
        </w:rPr>
        <w:t>）效应，包括出口国-时间固定效应和进口国-时间（</w:t>
      </w:r>
      <w:r>
        <w:rPr>
          <w:rFonts w:hint="eastAsia" w:ascii="Times New Roman" w:hAnsi="Times New Roman" w:eastAsia="宋体" w:cs="Times New Roman"/>
          <w:color w:val="auto"/>
          <w:kern w:val="2"/>
          <w:position w:val="-14"/>
          <w:sz w:val="21"/>
          <w:szCs w:val="21"/>
          <w:lang w:val="en-US" w:eastAsia="zh-CN" w:bidi="ar-SA"/>
        </w:rPr>
        <w:object>
          <v:shape id="_x0000_i1038" o:spt="75" type="#_x0000_t75" style="height:19.9pt;width:16.8pt;" o:ole="t" filled="f" o:preferrelative="t" stroked="f" coordsize="21600,21600">
            <v:path/>
            <v:fill on="f" focussize="0,0"/>
            <v:stroke on="f"/>
            <v:imagedata r:id="rId32" o:title=""/>
            <o:lock v:ext="edit" aspectratio="t"/>
            <w10:wrap type="none"/>
            <w10:anchorlock/>
          </v:shape>
          <o:OLEObject Type="Embed" ProgID="Equation.KSEE3" ShapeID="_x0000_i1038" DrawAspect="Content" ObjectID="_1468075738" r:id="rId31">
            <o:LockedField>false</o:LockedField>
          </o:OLEObject>
        </w:object>
      </w:r>
      <w:r>
        <w:rPr>
          <w:rFonts w:hint="eastAsia" w:cs="Times New Roman" w:asciiTheme="minorEastAsia" w:hAnsiTheme="minorEastAsia"/>
          <w:szCs w:val="21"/>
          <w:lang w:val="en-US" w:eastAsia="zh-CN"/>
        </w:rPr>
        <w:t>）固定效应，</w:t>
      </w:r>
      <w:r>
        <w:rPr>
          <w:rFonts w:hint="eastAsia"/>
          <w:szCs w:val="21"/>
          <w:lang w:val="en-US" w:eastAsia="zh-CN"/>
        </w:rPr>
        <w:t>得到方程（3）：</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szCs w:val="21"/>
        </w:rPr>
      </w:pPr>
      <w:r>
        <w:rPr>
          <w:rFonts w:hint="eastAsia" w:ascii="Times New Roman" w:hAnsi="Times New Roman" w:eastAsia="宋体" w:cs="Times New Roman"/>
          <w:color w:val="auto"/>
          <w:kern w:val="2"/>
          <w:position w:val="-14"/>
          <w:sz w:val="21"/>
          <w:szCs w:val="21"/>
          <w:lang w:val="en-US" w:eastAsia="zh-CN" w:bidi="ar-SA"/>
        </w:rPr>
        <w:object>
          <v:shape id="_x0000_i1039" o:spt="75" type="#_x0000_t75" style="height:20.9pt;width:262.85pt;" o:ole="t" filled="f" o:preferrelative="t" stroked="f" coordsize="21600,21600">
            <v:path/>
            <v:fill on="f" focussize="0,0"/>
            <v:stroke on="f"/>
            <v:imagedata r:id="rId34" o:title=""/>
            <o:lock v:ext="edit" aspectratio="t"/>
            <w10:wrap type="none"/>
            <w10:anchorlock/>
          </v:shape>
          <o:OLEObject Type="Embed" ProgID="Equation.KSEE3" ShapeID="_x0000_i1039" DrawAspect="Content" ObjectID="_1468075739" r:id="rId33">
            <o:LockedField>false</o:LockedField>
          </o:OLEObject>
        </w:object>
      </w:r>
      <w:r>
        <w:rPr>
          <w:szCs w:val="21"/>
        </w:rPr>
        <w:t xml:space="preserve">                                                                          </w:t>
      </w:r>
      <w:bookmarkStart w:id="0" w:name="_GoBack"/>
      <w:bookmarkEnd w:id="0"/>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szCs w:val="21"/>
          <w:lang w:val="en-US" w:eastAsia="zh-CN"/>
        </w:rPr>
      </w:pPr>
      <w:r>
        <w:rPr>
          <w:rFonts w:hint="eastAsia"/>
          <w:szCs w:val="21"/>
          <w:lang w:val="en-US" w:eastAsia="zh-CN"/>
        </w:rPr>
        <w:t>2、</w:t>
      </w:r>
      <w:r>
        <w:rPr>
          <w:szCs w:val="21"/>
        </w:rPr>
        <w:t>本文</w:t>
      </w:r>
      <w:r>
        <w:rPr>
          <w:rFonts w:hint="eastAsia"/>
          <w:szCs w:val="21"/>
          <w:lang w:val="en-US" w:eastAsia="zh-CN"/>
        </w:rPr>
        <w:t>首先对总贸易流量进行评估，再根据SITC九类分类分行业进行微观层面的评估。关于行业数据，拟采用</w:t>
      </w:r>
      <w:r>
        <w:rPr>
          <w:szCs w:val="21"/>
        </w:rPr>
        <w:t>采用PPML估计来解决零贸易额和异方差性问题</w:t>
      </w:r>
      <w:r>
        <w:rPr>
          <w:rFonts w:hint="eastAsia"/>
          <w:szCs w:val="21"/>
          <w:lang w:eastAsia="zh-CN"/>
        </w:rPr>
        <w:t>。</w:t>
      </w:r>
    </w:p>
    <w:p>
      <w:pPr>
        <w:spacing w:line="360" w:lineRule="auto"/>
        <w:rPr>
          <w:b/>
          <w:szCs w:val="21"/>
        </w:rPr>
      </w:pPr>
      <w:r>
        <w:rPr>
          <w:b/>
          <w:szCs w:val="21"/>
        </w:rPr>
        <w:t>五、文章的创新点</w:t>
      </w:r>
    </w:p>
    <w:p>
      <w:pPr>
        <w:spacing w:line="360" w:lineRule="auto"/>
        <w:ind w:firstLine="420" w:firstLineChars="200"/>
        <w:rPr>
          <w:rFonts w:hint="eastAsia" w:ascii="宋体" w:hAnsi="宋体" w:eastAsia="宋体" w:cs="宋体"/>
          <w:b w:val="0"/>
          <w:bCs/>
          <w:color w:val="auto"/>
          <w:kern w:val="2"/>
          <w:sz w:val="21"/>
          <w:szCs w:val="21"/>
          <w:lang w:val="en-US" w:eastAsia="zh-CN" w:bidi="ar-SA"/>
        </w:rPr>
      </w:pPr>
      <w:r>
        <w:rPr>
          <w:rFonts w:hint="eastAsia" w:ascii="宋体" w:hAnsi="宋体" w:cs="宋体"/>
          <w:b w:val="0"/>
          <w:bCs/>
          <w:color w:val="auto"/>
          <w:kern w:val="2"/>
          <w:sz w:val="21"/>
          <w:szCs w:val="21"/>
          <w:lang w:val="en-US" w:eastAsia="zh-CN" w:bidi="ar-SA"/>
        </w:rPr>
        <w:t>（一）</w:t>
      </w:r>
      <w:r>
        <w:rPr>
          <w:rFonts w:hint="eastAsia" w:ascii="宋体" w:hAnsi="宋体" w:eastAsia="宋体" w:cs="宋体"/>
          <w:b w:val="0"/>
          <w:bCs/>
          <w:color w:val="auto"/>
          <w:kern w:val="2"/>
          <w:sz w:val="21"/>
          <w:szCs w:val="21"/>
          <w:lang w:val="en-US" w:eastAsia="zh-CN" w:bidi="ar-SA"/>
        </w:rPr>
        <w:t>目标对象的特殊性。新加坡是东盟成员国中首个单独与中国成立FTA的国家，并与我国刚刚结束自由贸易协定升级协定。此外，新加坡是我国重要的贸易伙伴，两国的合作契合“一带一路”战略，相比其他国家的研究具有一定特殊性及现实意义。</w:t>
      </w:r>
    </w:p>
    <w:p>
      <w:pPr>
        <w:spacing w:line="360" w:lineRule="auto"/>
        <w:ind w:firstLine="420" w:firstLineChars="200"/>
        <w:rPr>
          <w:rFonts w:hint="eastAsia" w:ascii="宋体" w:hAnsi="宋体" w:eastAsia="宋体" w:cs="宋体"/>
          <w:b w:val="0"/>
          <w:bCs/>
          <w:color w:val="auto"/>
          <w:kern w:val="2"/>
          <w:sz w:val="21"/>
          <w:szCs w:val="21"/>
          <w:lang w:val="en-US" w:eastAsia="zh-CN" w:bidi="ar-SA"/>
        </w:rPr>
      </w:pPr>
      <w:r>
        <w:rPr>
          <w:rFonts w:hint="eastAsia" w:ascii="宋体" w:hAnsi="宋体" w:cs="宋体"/>
          <w:b w:val="0"/>
          <w:bCs/>
          <w:color w:val="auto"/>
          <w:kern w:val="2"/>
          <w:sz w:val="21"/>
          <w:szCs w:val="21"/>
          <w:lang w:val="en-US" w:eastAsia="zh-CN" w:bidi="ar-SA"/>
        </w:rPr>
        <w:t>（二）</w:t>
      </w:r>
      <w:r>
        <w:rPr>
          <w:rFonts w:hint="eastAsia" w:ascii="宋体" w:hAnsi="宋体" w:eastAsia="宋体" w:cs="宋体"/>
          <w:b w:val="0"/>
          <w:bCs/>
          <w:color w:val="auto"/>
          <w:kern w:val="2"/>
          <w:sz w:val="21"/>
          <w:szCs w:val="21"/>
          <w:lang w:val="en-US" w:eastAsia="zh-CN" w:bidi="ar-SA"/>
        </w:rPr>
        <w:t>FTA变量的设置。虽然新加坡是东盟成员国中首个单独与中国成立FTA的国家，但事实上，根据《中国-新加坡自由贸易协定关税减让表》显示，列表内6611个商品中，大部分商品在2007年都实现了50%以上的大幅度降税。而2009年大部分商品降税幅度只有30%。</w:t>
      </w:r>
      <w:r>
        <w:rPr>
          <w:rFonts w:hint="eastAsia" w:ascii="宋体" w:hAnsi="宋体" w:eastAsia="宋体" w:cs="宋体"/>
          <w:b w:val="0"/>
          <w:bCs/>
          <w:color w:val="auto"/>
          <w:kern w:val="2"/>
          <w:sz w:val="21"/>
          <w:szCs w:val="21"/>
          <w:lang w:val="en-US" w:eastAsia="zh-CN" w:bidi="ar-SA"/>
        </w:rPr>
        <w:footnoteReference w:id="0"/>
      </w:r>
      <w:r>
        <w:rPr>
          <w:rFonts w:hint="eastAsia" w:ascii="宋体" w:hAnsi="宋体" w:eastAsia="宋体" w:cs="宋体"/>
          <w:b w:val="0"/>
          <w:bCs/>
          <w:color w:val="auto"/>
          <w:kern w:val="2"/>
          <w:sz w:val="21"/>
          <w:szCs w:val="21"/>
          <w:lang w:val="en-US" w:eastAsia="zh-CN" w:bidi="ar-SA"/>
        </w:rPr>
        <w:t>因此，本文在考虑FTA变量的设置时，将FTA效应实施的年份创新型地设定为2007年</w:t>
      </w:r>
      <w:r>
        <w:rPr>
          <w:rFonts w:hint="eastAsia" w:ascii="宋体" w:hAnsi="宋体" w:cs="宋体"/>
          <w:b w:val="0"/>
          <w:bCs/>
          <w:color w:val="auto"/>
          <w:kern w:val="2"/>
          <w:sz w:val="21"/>
          <w:szCs w:val="21"/>
          <w:lang w:val="en-US" w:eastAsia="zh-CN" w:bidi="ar-SA"/>
        </w:rPr>
        <w:t>。</w:t>
      </w:r>
    </w:p>
    <w:p>
      <w:pPr>
        <w:spacing w:line="360" w:lineRule="auto"/>
        <w:ind w:firstLine="420" w:firstLineChars="200"/>
        <w:rPr>
          <w:rFonts w:hint="eastAsia" w:ascii="宋体" w:hAnsi="宋体" w:eastAsia="宋体" w:cs="宋体"/>
          <w:b w:val="0"/>
          <w:bCs/>
          <w:color w:val="auto"/>
          <w:kern w:val="2"/>
          <w:sz w:val="21"/>
          <w:szCs w:val="21"/>
          <w:lang w:val="en-US" w:eastAsia="zh-CN" w:bidi="ar-SA"/>
        </w:rPr>
      </w:pPr>
      <w:r>
        <w:rPr>
          <w:rFonts w:hint="eastAsia" w:ascii="宋体" w:hAnsi="宋体" w:cs="宋体"/>
          <w:b w:val="0"/>
          <w:bCs/>
          <w:color w:val="auto"/>
          <w:kern w:val="2"/>
          <w:sz w:val="21"/>
          <w:szCs w:val="21"/>
          <w:lang w:val="en-US" w:eastAsia="zh-CN" w:bidi="ar-SA"/>
        </w:rPr>
        <w:t>（三）</w:t>
      </w:r>
      <w:r>
        <w:rPr>
          <w:rFonts w:hint="eastAsia" w:ascii="宋体" w:hAnsi="宋体" w:eastAsia="宋体" w:cs="宋体"/>
          <w:b w:val="0"/>
          <w:bCs/>
          <w:color w:val="auto"/>
          <w:kern w:val="2"/>
          <w:sz w:val="21"/>
          <w:szCs w:val="21"/>
          <w:lang w:val="en-US" w:eastAsia="zh-CN" w:bidi="ar-SA"/>
        </w:rPr>
        <w:t>较为全面的测度了中新FTA的贸易创造与转移效应。文章不仅从静态效应、动态效应全面分析中新FTA的贸易效应，同时还通过宏观角度和角度分别考察中新FTA对的贸易创造与转移效应。</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id="0">
    <w:p>
      <w:pPr>
        <w:pStyle w:val="2"/>
        <w:snapToGrid w:val="0"/>
        <w:rPr>
          <w:rFonts w:hint="default" w:ascii="Times New Roman" w:hAnsi="Times New Roman" w:cs="Times New Roman"/>
        </w:rPr>
      </w:pPr>
      <w:r>
        <w:rPr>
          <w:rStyle w:val="5"/>
        </w:rPr>
        <w:footnoteRef/>
      </w:r>
      <w:r>
        <w:t xml:space="preserve"> </w:t>
      </w:r>
      <w:r>
        <w:rPr>
          <w:rFonts w:hint="eastAsia"/>
          <w:lang w:val="en-US" w:eastAsia="zh-CN"/>
        </w:rPr>
        <w:t>中国自由贸易区服务网</w:t>
      </w:r>
      <w:r>
        <w:rPr>
          <w:rFonts w:hint="default" w:ascii="Times New Roman" w:hAnsi="Times New Roman" w:cs="Times New Roman"/>
          <w:lang w:val="en-US" w:eastAsia="zh-CN"/>
        </w:rPr>
        <w:t xml:space="preserve"> </w:t>
      </w:r>
      <w:r>
        <w:rPr>
          <w:rFonts w:hint="default" w:ascii="Times New Roman" w:hAnsi="Times New Roman" w:cs="Times New Roman"/>
        </w:rPr>
        <w:t>http://fta.mofcom.gov.cn</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875A36D"/>
    <w:multiLevelType w:val="singleLevel"/>
    <w:tmpl w:val="9875A36D"/>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1A14AA3"/>
    <w:rsid w:val="3C9843D2"/>
    <w:rsid w:val="7023357E"/>
    <w:rsid w:val="71A14A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uiPriority w:val="0"/>
  </w:style>
  <w:style w:type="table" w:default="1" w:styleId="6">
    <w:name w:val="Normal Table"/>
    <w:semiHidden/>
    <w:uiPriority w:val="0"/>
    <w:tblPr>
      <w:tblLayout w:type="fixed"/>
      <w:tblCellMar>
        <w:top w:w="0" w:type="dxa"/>
        <w:left w:w="108" w:type="dxa"/>
        <w:bottom w:w="0" w:type="dxa"/>
        <w:right w:w="108" w:type="dxa"/>
      </w:tblCellMar>
    </w:tblPr>
  </w:style>
  <w:style w:type="paragraph" w:styleId="2">
    <w:name w:val="footnote text"/>
    <w:basedOn w:val="1"/>
    <w:qFormat/>
    <w:uiPriority w:val="0"/>
    <w:pPr>
      <w:snapToGrid w:val="0"/>
      <w:jc w:val="left"/>
    </w:pPr>
    <w:rPr>
      <w:sz w:val="18"/>
      <w:szCs w:val="18"/>
    </w:rPr>
  </w:style>
  <w:style w:type="paragraph" w:styleId="3">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5">
    <w:name w:val="footnote reference"/>
    <w:basedOn w:val="4"/>
    <w:qFormat/>
    <w:uiPriority w:val="0"/>
    <w:rPr>
      <w:vertAlign w:val="superscript"/>
    </w:rPr>
  </w:style>
  <w:style w:type="table" w:styleId="7">
    <w:name w:val="Table Grid"/>
    <w:basedOn w:val="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3.bin"/><Relationship Id="rId8" Type="http://schemas.openxmlformats.org/officeDocument/2006/relationships/image" Target="media/image2.wmf"/><Relationship Id="rId7" Type="http://schemas.openxmlformats.org/officeDocument/2006/relationships/oleObject" Target="embeddings/oleObject2.bin"/><Relationship Id="rId6" Type="http://schemas.openxmlformats.org/officeDocument/2006/relationships/image" Target="media/image1.wmf"/><Relationship Id="rId5" Type="http://schemas.openxmlformats.org/officeDocument/2006/relationships/oleObject" Target="embeddings/oleObject1.bin"/><Relationship Id="rId4" Type="http://schemas.openxmlformats.org/officeDocument/2006/relationships/theme" Target="theme/theme1.xml"/><Relationship Id="rId37" Type="http://schemas.openxmlformats.org/officeDocument/2006/relationships/fontTable" Target="fontTable.xml"/><Relationship Id="rId36" Type="http://schemas.openxmlformats.org/officeDocument/2006/relationships/numbering" Target="numbering.xml"/><Relationship Id="rId35" Type="http://schemas.openxmlformats.org/officeDocument/2006/relationships/customXml" Target="../customXml/item1.xml"/><Relationship Id="rId34" Type="http://schemas.openxmlformats.org/officeDocument/2006/relationships/image" Target="media/image15.wmf"/><Relationship Id="rId33" Type="http://schemas.openxmlformats.org/officeDocument/2006/relationships/oleObject" Target="embeddings/oleObject15.bin"/><Relationship Id="rId32" Type="http://schemas.openxmlformats.org/officeDocument/2006/relationships/image" Target="media/image14.wmf"/><Relationship Id="rId31" Type="http://schemas.openxmlformats.org/officeDocument/2006/relationships/oleObject" Target="embeddings/oleObject14.bin"/><Relationship Id="rId30" Type="http://schemas.openxmlformats.org/officeDocument/2006/relationships/image" Target="media/image13.wmf"/><Relationship Id="rId3" Type="http://schemas.openxmlformats.org/officeDocument/2006/relationships/footnotes" Target="footnotes.xml"/><Relationship Id="rId29" Type="http://schemas.openxmlformats.org/officeDocument/2006/relationships/oleObject" Target="embeddings/oleObject13.bin"/><Relationship Id="rId28" Type="http://schemas.openxmlformats.org/officeDocument/2006/relationships/image" Target="media/image12.wmf"/><Relationship Id="rId27" Type="http://schemas.openxmlformats.org/officeDocument/2006/relationships/oleObject" Target="embeddings/oleObject12.bin"/><Relationship Id="rId26" Type="http://schemas.openxmlformats.org/officeDocument/2006/relationships/image" Target="media/image11.wmf"/><Relationship Id="rId25" Type="http://schemas.openxmlformats.org/officeDocument/2006/relationships/oleObject" Target="embeddings/oleObject11.bin"/><Relationship Id="rId24" Type="http://schemas.openxmlformats.org/officeDocument/2006/relationships/image" Target="media/image10.wmf"/><Relationship Id="rId23" Type="http://schemas.openxmlformats.org/officeDocument/2006/relationships/oleObject" Target="embeddings/oleObject10.bin"/><Relationship Id="rId22" Type="http://schemas.openxmlformats.org/officeDocument/2006/relationships/image" Target="media/image9.wmf"/><Relationship Id="rId21" Type="http://schemas.openxmlformats.org/officeDocument/2006/relationships/oleObject" Target="embeddings/oleObject9.bin"/><Relationship Id="rId20" Type="http://schemas.openxmlformats.org/officeDocument/2006/relationships/image" Target="media/image8.wmf"/><Relationship Id="rId2" Type="http://schemas.openxmlformats.org/officeDocument/2006/relationships/settings" Target="settings.xml"/><Relationship Id="rId19" Type="http://schemas.openxmlformats.org/officeDocument/2006/relationships/oleObject" Target="embeddings/oleObject8.bin"/><Relationship Id="rId18" Type="http://schemas.openxmlformats.org/officeDocument/2006/relationships/image" Target="media/image7.wmf"/><Relationship Id="rId17" Type="http://schemas.openxmlformats.org/officeDocument/2006/relationships/oleObject" Target="embeddings/oleObject7.bin"/><Relationship Id="rId16" Type="http://schemas.openxmlformats.org/officeDocument/2006/relationships/image" Target="media/image6.wmf"/><Relationship Id="rId15" Type="http://schemas.openxmlformats.org/officeDocument/2006/relationships/oleObject" Target="embeddings/oleObject6.bin"/><Relationship Id="rId14" Type="http://schemas.openxmlformats.org/officeDocument/2006/relationships/image" Target="media/image5.wmf"/><Relationship Id="rId13" Type="http://schemas.openxmlformats.org/officeDocument/2006/relationships/oleObject" Target="embeddings/oleObject5.bin"/><Relationship Id="rId12" Type="http://schemas.openxmlformats.org/officeDocument/2006/relationships/image" Target="media/image4.wmf"/><Relationship Id="rId11" Type="http://schemas.openxmlformats.org/officeDocument/2006/relationships/oleObject" Target="embeddings/oleObject4.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Office_11.1.0.8013_F1E327BC-269C-435d-A152-05C5408002CA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2018-12-14T06:24:00Z</dcterms:created>
  <dc:creator>envy</dc:creator>
  <cp:lastModifiedBy>envy</cp:lastModifiedBy>
  <dcterms:modified xsi:type="dcterms:W3CDTF">2018-12-14T06:30:46Z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2052-11.1.0.8013</vt:lpwstr>
  </property>
  <property fmtid="{D5CDD505-2E9C-101B-9397-08002B2CF9AE}" pid="3" name="KSORubyTemplateID" linkTarget="0">
    <vt:lpwstr>6</vt:lpwstr>
  </property>
</Properties>
</file>